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ectPr w:rsidR="00FC693F" w:rsidRPr="0006063C" w:rsidSect="00034616">
      <w:pgSz w:w="12240" w:h="15840"/>
      <w:pgMar w:top="1440" w:right="1440" w:bottom="1440" w:left="1440" w:header="720" w:footer="720" w:gutter="0"/>
      <w:cols w:space="720"/>
      <w:docGrid w:linePitch="360"/>
    </w:sectPr>
    <w:p>
      <w:pPr>
        <w:pStyle w:val="Heading1"/>
        <w:spacing w:before="240" w:after="240"/>
        <w:jc w:val="center"/>
      </w:pPr>
      <w:r>
        <w:rPr>
          <w:b/>
          <w:bCs/>
          <w:color w:val="1F4788"/>
          <w:sz w:val="32"/>
          <w:szCs w:val="32"/>
        </w:rPr>
        <w:t xml:space="preserve">FICHE 8 - LES ATTRIBUTS DU DROIT DE PROPRIÉTÉ</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4F8" w:val="clear"/>
            <w:tcMar>
              <w:top w:type="dxa" w:w="120"/>
              <w:left w:type="dxa" w:w="180"/>
              <w:bottom w:type="dxa" w:w="120"/>
              <w:right w:type="dxa" w:w="180"/>
            </w:tcMar>
          </w:tcPr>
          <w:p>
            <w:pPr>
              <w:spacing w:after="100"/>
            </w:pPr>
            <w:r>
              <w:rPr>
                <w:b/>
                <w:bCs/>
                <w:sz w:val="24"/>
                <w:szCs w:val="24"/>
              </w:rPr>
              <w:t xml:space="preserve">📖 ARTICLE 544 C.CIV.</w:t>
            </w:r>
          </w:p>
          <w:p>
            <w:r>
              <w:rPr>
                <w:sz w:val="22"/>
                <w:szCs w:val="22"/>
              </w:rPr>
              <w:t xml:space="preserve">"La propriété est le droit de jouir et disposer des choses de la manière la plus absolue, pourvu qu'on n'en fasse pas un usage prohibé par les lois ou par les règlements."</w:t>
            </w:r>
          </w:p>
        </w:tc>
      </w:tr>
    </w:tbl>
    <w:p>
      <w:pPr>
        <w:spacing w:before="2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4F8" w:val="clear"/>
            <w:tcMar>
              <w:top w:type="dxa" w:w="120"/>
              <w:left w:type="dxa" w:w="180"/>
              <w:bottom w:type="dxa" w:w="120"/>
              <w:right w:type="dxa" w:w="180"/>
            </w:tcMar>
          </w:tcPr>
          <w:p>
            <w:pPr>
              <w:spacing w:after="100"/>
            </w:pPr>
            <w:r>
              <w:rPr>
                <w:b/>
                <w:bCs/>
                <w:sz w:val="24"/>
                <w:szCs w:val="24"/>
              </w:rPr>
              <w:t xml:space="preserve">⚖️ DROIT FONDAMENTAL</w:t>
            </w:r>
          </w:p>
          <w:p>
            <w:r>
              <w:rPr>
                <w:sz w:val="22"/>
                <w:szCs w:val="22"/>
              </w:rPr>
              <w:t xml:space="preserve">Le droit de propriété est un droit de valeur constitutionnelle (Cons. const., 16 janvier 1982). Il est également protégé par la CEDH (art. 1er Protocole 1).</w:t>
            </w:r>
          </w:p>
        </w:tc>
      </w:tr>
    </w:tbl>
    <w:p>
      <w:pPr>
        <w:spacing w:before="200"/>
      </w:pPr>
    </w:p>
    <w:p>
      <w:pPr>
        <w:pStyle w:val="Heading2"/>
        <w:spacing w:before="200" w:after="120"/>
      </w:pPr>
      <w:r>
        <w:rPr>
          <w:b/>
          <w:bCs/>
          <w:color w:val="2E5C8A"/>
          <w:sz w:val="28"/>
          <w:szCs w:val="28"/>
        </w:rPr>
        <w:t xml:space="preserve">I. L'USUS - Le droit d'user du bien</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4F8" w:val="clear"/>
            <w:tcMar>
              <w:top w:type="dxa" w:w="120"/>
              <w:left w:type="dxa" w:w="180"/>
              <w:bottom w:type="dxa" w:w="120"/>
              <w:right w:type="dxa" w:w="180"/>
            </w:tcMar>
          </w:tcPr>
          <w:p>
            <w:pPr>
              <w:spacing w:after="100"/>
            </w:pPr>
            <w:r>
              <w:rPr>
                <w:b/>
                <w:bCs/>
                <w:sz w:val="24"/>
                <w:szCs w:val="24"/>
              </w:rPr>
              <w:t xml:space="preserve">💡 DÉFINITION</w:t>
            </w:r>
          </w:p>
          <w:p>
            <w:r>
              <w:rPr>
                <w:sz w:val="22"/>
                <w:szCs w:val="22"/>
              </w:rPr>
              <w:t xml:space="preserve">Faculté d'utilisation du bien sur lequel porte le droit. Le propriétaire peut se servir de son bien pour tous les usages possibles.</w:t>
            </w:r>
          </w:p>
        </w:tc>
      </w:tr>
    </w:tbl>
    <w:p>
      <w:pPr>
        <w:spacing w:before="150"/>
      </w:pPr>
    </w:p>
    <w:p>
      <w:pPr>
        <w:spacing w:before="150" w:after="100"/>
      </w:pPr>
      <w:r>
        <w:rPr>
          <w:b/>
          <w:bCs/>
          <w:color w:val="4472C4"/>
          <w:sz w:val="24"/>
          <w:szCs w:val="24"/>
        </w:rPr>
        <w:t xml:space="preserve">Deux aspects de l'usus :</w:t>
      </w:r>
    </w:p>
    <w:p>
      <w:pPr>
        <w:pStyle w:val="ListParagraph"/>
        <w:numPr>
          <w:ilvl w:val="0"/>
          <w:numId w:val="2"/>
        </w:numPr>
        <w:spacing w:before="60" w:after="60"/>
      </w:pPr>
      <w:r>
        <w:rPr>
          <w:sz w:val="22"/>
          <w:szCs w:val="22"/>
        </w:rPr>
        <w:t xml:space="preserve">Aspect positif : utiliser le bien, s'en servir personnellement</w:t>
      </w:r>
    </w:p>
    <w:p>
      <w:pPr>
        <w:pStyle w:val="ListParagraph"/>
        <w:numPr>
          <w:ilvl w:val="0"/>
          <w:numId w:val="2"/>
        </w:numPr>
        <w:spacing w:before="60" w:after="60"/>
      </w:pPr>
      <w:r>
        <w:rPr>
          <w:sz w:val="22"/>
          <w:szCs w:val="22"/>
        </w:rPr>
        <w:t xml:space="preserve">Aspect négatif : ne pas l'utiliser (laisser en friche, ne rien en faire)</w:t>
      </w:r>
    </w:p>
    <w:p>
      <w:pPr>
        <w:spacing w:before="150"/>
      </w:pPr>
    </w:p>
    <w:p>
      <w:pPr>
        <w:spacing w:before="150" w:after="100"/>
      </w:pPr>
      <w:r>
        <w:rPr>
          <w:b/>
          <w:bCs/>
          <w:color w:val="4472C4"/>
          <w:sz w:val="24"/>
          <w:szCs w:val="24"/>
        </w:rPr>
        <w:t xml:space="preserve">Limites au droit d'usage :</w:t>
      </w:r>
    </w:p>
    <w:p>
      <w:pPr>
        <w:pStyle w:val="ListParagraph"/>
        <w:numPr>
          <w:ilvl w:val="0"/>
          <w:numId w:val="3"/>
        </w:numPr>
        <w:spacing w:before="60" w:after="60"/>
      </w:pPr>
      <w:r>
        <w:rPr>
          <w:sz w:val="22"/>
          <w:szCs w:val="22"/>
        </w:rPr>
        <w:t xml:space="preserve">Respect des lois et règlements (ordre public)</w:t>
      </w:r>
    </w:p>
    <w:p>
      <w:pPr>
        <w:pStyle w:val="ListParagraph"/>
        <w:numPr>
          <w:ilvl w:val="0"/>
          <w:numId w:val="3"/>
        </w:numPr>
        <w:spacing w:before="60" w:after="60"/>
      </w:pPr>
      <w:r>
        <w:rPr>
          <w:sz w:val="22"/>
          <w:szCs w:val="22"/>
        </w:rPr>
        <w:t xml:space="preserve">Pas d'usage contraire à l'intérêt de la société</w:t>
      </w:r>
    </w:p>
    <w:p>
      <w:pPr>
        <w:pStyle w:val="ListParagraph"/>
        <w:numPr>
          <w:ilvl w:val="0"/>
          <w:numId w:val="3"/>
        </w:numPr>
        <w:spacing w:before="60" w:after="60"/>
      </w:pPr>
      <w:r>
        <w:rPr>
          <w:sz w:val="22"/>
          <w:szCs w:val="22"/>
        </w:rPr>
        <w:t xml:space="preserve">Pas de troubles anormaux de voisinage</w:t>
      </w:r>
    </w:p>
    <w:p>
      <w:pPr>
        <w:pStyle w:val="ListParagraph"/>
        <w:numPr>
          <w:ilvl w:val="0"/>
          <w:numId w:val="3"/>
        </w:numPr>
        <w:spacing w:before="60" w:after="60"/>
      </w:pPr>
      <w:r>
        <w:rPr>
          <w:sz w:val="22"/>
          <w:szCs w:val="22"/>
        </w:rPr>
        <w:t xml:space="preserve">Possible réquisition de logements vacants</w:t>
      </w:r>
    </w:p>
    <w:p>
      <w:pPr>
        <w:spacing w:before="200"/>
      </w:pPr>
    </w:p>
    <w:p>
      <w:pPr>
        <w:pStyle w:val="Heading2"/>
        <w:spacing w:before="200" w:after="120"/>
      </w:pPr>
      <w:r>
        <w:rPr>
          <w:b/>
          <w:bCs/>
          <w:color w:val="2E5C8A"/>
          <w:sz w:val="28"/>
          <w:szCs w:val="28"/>
        </w:rPr>
        <w:t xml:space="preserve">II. Le FRUCTUS - Le droit de jouir du bien</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4F8" w:val="clear"/>
            <w:tcMar>
              <w:top w:type="dxa" w:w="120"/>
              <w:left w:type="dxa" w:w="180"/>
              <w:bottom w:type="dxa" w:w="120"/>
              <w:right w:type="dxa" w:w="180"/>
            </w:tcMar>
          </w:tcPr>
          <w:p>
            <w:pPr>
              <w:spacing w:after="100"/>
            </w:pPr>
            <w:r>
              <w:rPr>
                <w:b/>
                <w:bCs/>
                <w:sz w:val="24"/>
                <w:szCs w:val="24"/>
              </w:rPr>
              <w:t xml:space="preserve">🌾 DÉFINITION</w:t>
            </w:r>
          </w:p>
          <w:p>
            <w:r>
              <w:rPr>
                <w:sz w:val="22"/>
                <w:szCs w:val="22"/>
              </w:rPr>
              <w:t xml:space="preserve">Pouvoir de percevoir les fruits ou les produits du bien. La propriété s'étend à tout ce que le bien produit naturellement ou par le travail de l'homme (art. 546 C.civ.).</w:t>
            </w:r>
          </w:p>
        </w:tc>
      </w:tr>
    </w:tbl>
    <w:p>
      <w:pPr>
        <w:spacing w:before="150"/>
      </w:pPr>
    </w:p>
    <w:p>
      <w:pPr>
        <w:spacing w:before="150" w:after="100"/>
      </w:pPr>
      <w:r>
        <w:rPr>
          <w:b/>
          <w:bCs/>
          <w:color w:val="4472C4"/>
          <w:sz w:val="24"/>
          <w:szCs w:val="24"/>
        </w:rPr>
        <w:t xml:space="preserve">A. Distinction fruits / produits</w:t>
      </w:r>
    </w:p>
    <w:p>
      <w:pPr>
        <w:spacing w:before="100" w:after="80"/>
      </w:pPr>
      <w:r>
        <w:rPr>
          <w:b/>
          <w:bCs/>
          <w:sz w:val="22"/>
          <w:szCs w:val="22"/>
        </w:rPr>
        <w:t xml:space="preserve">📌 LES FRUITS (art. 582)</w:t>
      </w:r>
    </w:p>
    <w:p>
      <w:pPr>
        <w:pStyle w:val="ListParagraph"/>
        <w:numPr>
          <w:ilvl w:val="0"/>
          <w:numId w:val="4"/>
        </w:numPr>
        <w:spacing w:before="60" w:after="60"/>
      </w:pPr>
      <w:r>
        <w:rPr>
          <w:sz w:val="22"/>
          <w:szCs w:val="22"/>
        </w:rPr>
        <w:t xml:space="preserve">Fruits NATURELS : proviennent spontanément de la chose sans intervention humaine (récoltes naturelles, fruits des arbres)</w:t>
      </w:r>
    </w:p>
    <w:p>
      <w:pPr>
        <w:pStyle w:val="ListParagraph"/>
        <w:numPr>
          <w:ilvl w:val="0"/>
          <w:numId w:val="4"/>
        </w:numPr>
        <w:spacing w:before="60" w:after="60"/>
      </w:pPr>
      <w:r>
        <w:rPr>
          <w:sz w:val="22"/>
          <w:szCs w:val="22"/>
        </w:rPr>
        <w:t xml:space="preserve">Fruits INDUSTRIELS : proviennent du travail des hommes (récoltes cultivées, coupes de bois, pêches des étangs)</w:t>
      </w:r>
    </w:p>
    <w:p>
      <w:pPr>
        <w:pStyle w:val="ListParagraph"/>
        <w:numPr>
          <w:ilvl w:val="0"/>
          <w:numId w:val="4"/>
        </w:numPr>
        <w:spacing w:before="60" w:after="60"/>
      </w:pPr>
      <w:r>
        <w:rPr>
          <w:sz w:val="22"/>
          <w:szCs w:val="22"/>
        </w:rPr>
        <w:t xml:space="preserve">Fruits CIVILS : revenus périodiques dus par des tiers (loyers, intérêts des capitaux prêtés)</w:t>
      </w:r>
    </w:p>
    <w:p>
      <w:pPr>
        <w:pStyle w:val="ListParagraph"/>
        <w:numPr>
          <w:ilvl w:val="0"/>
          <w:numId w:val="4"/>
        </w:numPr>
        <w:spacing w:before="60" w:after="60"/>
      </w:pPr>
      <w:r>
        <w:rPr>
          <w:sz w:val="22"/>
          <w:szCs w:val="22"/>
        </w:rPr>
        <w:t xml:space="preserve">Caractéristique : production périodique SANS destruction de la substance</w:t>
      </w:r>
    </w:p>
    <w:p>
      <w:pPr>
        <w:spacing w:before="150" w:after="80"/>
      </w:pPr>
      <w:r>
        <w:rPr>
          <w:b/>
          <w:bCs/>
          <w:sz w:val="22"/>
          <w:szCs w:val="22"/>
        </w:rPr>
        <w:t xml:space="preserve">📌 LES PRODUITS</w:t>
      </w:r>
    </w:p>
    <w:p>
      <w:pPr>
        <w:pStyle w:val="ListParagraph"/>
        <w:numPr>
          <w:ilvl w:val="0"/>
          <w:numId w:val="4"/>
        </w:numPr>
        <w:spacing w:before="60" w:after="60"/>
      </w:pPr>
      <w:r>
        <w:rPr>
          <w:sz w:val="22"/>
          <w:szCs w:val="22"/>
        </w:rPr>
        <w:t xml:space="preserve">Ce qui provient de la chose SANS périodicité</w:t>
      </w:r>
    </w:p>
    <w:p>
      <w:pPr>
        <w:pStyle w:val="ListParagraph"/>
        <w:numPr>
          <w:ilvl w:val="0"/>
          <w:numId w:val="4"/>
        </w:numPr>
        <w:spacing w:before="60" w:after="60"/>
      </w:pPr>
      <w:r>
        <w:rPr>
          <w:sz w:val="22"/>
          <w:szCs w:val="22"/>
        </w:rPr>
        <w:t xml:space="preserve">Production qui ALTÈRE la substance</w:t>
      </w:r>
    </w:p>
    <w:p>
      <w:pPr>
        <w:pStyle w:val="ListParagraph"/>
        <w:numPr>
          <w:ilvl w:val="0"/>
          <w:numId w:val="4"/>
        </w:numPr>
        <w:spacing w:before="60" w:after="60"/>
      </w:pPr>
      <w:r>
        <w:rPr>
          <w:sz w:val="22"/>
          <w:szCs w:val="22"/>
        </w:rPr>
        <w:t xml:space="preserve">Ex : matériaux extraits des carrières, pierres, sable</w:t>
      </w:r>
    </w:p>
    <w:p>
      <w:pPr>
        <w:spacing w:before="150"/>
      </w:pPr>
    </w:p>
    <w:p>
      <w:pPr>
        <w:spacing w:before="150" w:after="100"/>
      </w:pPr>
      <w:r>
        <w:rPr>
          <w:b/>
          <w:bCs/>
          <w:color w:val="4472C4"/>
          <w:sz w:val="24"/>
          <w:szCs w:val="24"/>
        </w:rPr>
        <w:t xml:space="preserve">B. Les deux aspects du fructus :</w:t>
      </w:r>
    </w:p>
    <w:p>
      <w:pPr>
        <w:pStyle w:val="ListParagraph"/>
        <w:numPr>
          <w:ilvl w:val="0"/>
          <w:numId w:val="2"/>
        </w:numPr>
        <w:spacing w:before="60" w:after="60"/>
      </w:pPr>
      <w:r>
        <w:rPr>
          <w:sz w:val="22"/>
          <w:szCs w:val="22"/>
        </w:rPr>
        <w:t xml:space="preserve">Percevoir les fruits et produits</w:t>
      </w:r>
    </w:p>
    <w:p>
      <w:pPr>
        <w:pStyle w:val="ListParagraph"/>
        <w:numPr>
          <w:ilvl w:val="0"/>
          <w:numId w:val="2"/>
        </w:numPr>
        <w:spacing w:before="60" w:after="60"/>
      </w:pPr>
      <w:r>
        <w:rPr>
          <w:sz w:val="22"/>
          <w:szCs w:val="22"/>
        </w:rPr>
        <w:t xml:space="preserve">Utiliser l'image du bien à des fins lucratives (droit sur l'image du bien)</w:t>
      </w:r>
    </w:p>
    <w:p>
      <w:pPr>
        <w:spacing w:before="12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FF8DC" w:val="clear"/>
            <w:tcMar>
              <w:top w:type="dxa" w:w="120"/>
              <w:left w:type="dxa" w:w="180"/>
              <w:bottom w:type="dxa" w:w="120"/>
              <w:right w:type="dxa" w:w="180"/>
            </w:tcMar>
          </w:tcPr>
          <w:p>
            <w:pPr>
              <w:spacing w:after="100"/>
            </w:pPr>
            <w:r>
              <w:rPr>
                <w:b/>
                <w:bCs/>
                <w:sz w:val="24"/>
                <w:szCs w:val="24"/>
              </w:rPr>
              <w:t xml:space="preserve">⚖️ JURISPRUDENCE - DROIT À L'IMAGE DU BIEN</w:t>
            </w:r>
          </w:p>
          <w:p>
            <w:r>
              <w:rPr>
                <w:sz w:val="22"/>
                <w:szCs w:val="22"/>
              </w:rPr>
              <w:t xml:space="preserve">Cass. com., 31 mars 2015 : plusieurs fondements possibles pour protéger l'image d'un bien : droit de propriété, contrefaçon de marque, concurrence déloyale, parasitisme.</w:t>
            </w:r>
          </w:p>
        </w:tc>
      </w:tr>
    </w:tbl>
    <w:p>
      <w:pPr>
        <w:spacing w:before="150"/>
      </w:pPr>
    </w:p>
    <w:p>
      <w:pPr>
        <w:spacing w:before="150" w:after="100"/>
      </w:pPr>
      <w:r>
        <w:rPr>
          <w:b/>
          <w:bCs/>
          <w:color w:val="4472C4"/>
          <w:sz w:val="24"/>
          <w:szCs w:val="24"/>
        </w:rPr>
        <w:t xml:space="preserve">C. Droit d'accession par production (art. 547-550)</w:t>
      </w:r>
    </w:p>
    <w:p>
      <w:pPr>
        <w:pStyle w:val="ListParagraph"/>
        <w:numPr>
          <w:ilvl w:val="0"/>
          <w:numId w:val="3"/>
        </w:numPr>
        <w:spacing w:before="60" w:after="60"/>
      </w:pPr>
      <w:r>
        <w:rPr>
          <w:sz w:val="22"/>
          <w:szCs w:val="22"/>
        </w:rPr>
        <w:t xml:space="preserve">Le propriétaire acquiert TOUT ce que produit son bien</w:t>
      </w:r>
    </w:p>
    <w:p>
      <w:pPr>
        <w:pStyle w:val="ListParagraph"/>
        <w:numPr>
          <w:ilvl w:val="0"/>
          <w:numId w:val="3"/>
        </w:numPr>
        <w:spacing w:before="60" w:after="60"/>
      </w:pPr>
      <w:r>
        <w:rPr>
          <w:sz w:val="22"/>
          <w:szCs w:val="22"/>
        </w:rPr>
        <w:t xml:space="preserve">Exception : démembrement de propriété (usufruitier perçoit les fruits)</w:t>
      </w:r>
    </w:p>
    <w:p>
      <w:pPr>
        <w:pStyle w:val="ListParagraph"/>
        <w:numPr>
          <w:ilvl w:val="0"/>
          <w:numId w:val="3"/>
        </w:numPr>
        <w:spacing w:before="60" w:after="60"/>
      </w:pPr>
      <w:r>
        <w:rPr>
          <w:sz w:val="22"/>
          <w:szCs w:val="22"/>
        </w:rPr>
        <w:t xml:space="preserve">Possesseur de bonne foi : conserve les fruits perçus tant qu'il ignore ne pas être propriétaire</w:t>
      </w:r>
    </w:p>
    <w:p>
      <w:r>
        <w:br w:type="page"/>
      </w:r>
    </w:p>
    <w:p>
      <w:pPr>
        <w:pStyle w:val="Heading2"/>
        <w:spacing w:before="200" w:after="120"/>
      </w:pPr>
      <w:r>
        <w:rPr>
          <w:b/>
          <w:bCs/>
          <w:color w:val="2E5C8A"/>
          <w:sz w:val="28"/>
          <w:szCs w:val="28"/>
        </w:rPr>
        <w:t xml:space="preserve">III. L'ABUSUS - Le droit de disposer du bien</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4F8" w:val="clear"/>
            <w:tcMar>
              <w:top w:type="dxa" w:w="120"/>
              <w:left w:type="dxa" w:w="180"/>
              <w:bottom w:type="dxa" w:w="120"/>
              <w:right w:type="dxa" w:w="180"/>
            </w:tcMar>
          </w:tcPr>
          <w:p>
            <w:pPr>
              <w:spacing w:after="100"/>
            </w:pPr>
            <w:r>
              <w:rPr>
                <w:b/>
                <w:bCs/>
                <w:sz w:val="24"/>
                <w:szCs w:val="24"/>
              </w:rPr>
              <w:t xml:space="preserve">💎 L'ATTRIBUT ESSENTIEL</w:t>
            </w:r>
          </w:p>
          <w:p>
            <w:r>
              <w:rPr>
                <w:sz w:val="22"/>
                <w:szCs w:val="22"/>
              </w:rPr>
              <w:t xml:space="preserve">Le plus important des trois attributs : pouvoir de disposer juridiquement (vendre, donner) et matériellement (transformer, détruire) du bien. C'est le pouvoir le plus caractéristique de l'absolutisme du droit de propriété.</w:t>
            </w:r>
          </w:p>
        </w:tc>
      </w:tr>
    </w:tbl>
    <w:p>
      <w:pPr>
        <w:spacing w:before="150"/>
      </w:pPr>
    </w:p>
    <w:p>
      <w:pPr>
        <w:spacing w:before="150" w:after="100"/>
      </w:pPr>
      <w:r>
        <w:rPr>
          <w:b/>
          <w:bCs/>
          <w:color w:val="4472C4"/>
          <w:sz w:val="24"/>
          <w:szCs w:val="24"/>
        </w:rPr>
        <w:t xml:space="preserve">Les deux aspects de l'abusus :</w:t>
      </w:r>
    </w:p>
    <w:p>
      <w:pPr>
        <w:spacing w:before="120" w:after="80"/>
      </w:pPr>
      <w:r>
        <w:rPr>
          <w:b/>
          <w:bCs/>
          <w:sz w:val="22"/>
          <w:szCs w:val="22"/>
        </w:rPr>
        <w:t xml:space="preserve">1️⃣ DISPOSITION JURIDIQUE</w:t>
      </w:r>
    </w:p>
    <w:p>
      <w:pPr>
        <w:pStyle w:val="ListParagraph"/>
        <w:numPr>
          <w:ilvl w:val="0"/>
          <w:numId w:val="4"/>
        </w:numPr>
        <w:spacing w:before="60" w:after="60"/>
      </w:pPr>
      <w:r>
        <w:rPr>
          <w:sz w:val="22"/>
          <w:szCs w:val="22"/>
        </w:rPr>
        <w:t xml:space="preserve">Vendre le bien (aliénation à titre onéreux)</w:t>
      </w:r>
    </w:p>
    <w:p>
      <w:pPr>
        <w:pStyle w:val="ListParagraph"/>
        <w:numPr>
          <w:ilvl w:val="0"/>
          <w:numId w:val="4"/>
        </w:numPr>
        <w:spacing w:before="60" w:after="60"/>
      </w:pPr>
      <w:r>
        <w:rPr>
          <w:sz w:val="22"/>
          <w:szCs w:val="22"/>
        </w:rPr>
        <w:t xml:space="preserve">Donner le bien (aliénation à titre gratuit)</w:t>
      </w:r>
    </w:p>
    <w:p>
      <w:pPr>
        <w:pStyle w:val="ListParagraph"/>
        <w:numPr>
          <w:ilvl w:val="0"/>
          <w:numId w:val="4"/>
        </w:numPr>
        <w:spacing w:before="60" w:after="60"/>
      </w:pPr>
      <w:r>
        <w:rPr>
          <w:sz w:val="22"/>
          <w:szCs w:val="22"/>
        </w:rPr>
        <w:t xml:space="preserve">Échanger le bien</w:t>
      </w:r>
    </w:p>
    <w:p>
      <w:pPr>
        <w:pStyle w:val="ListParagraph"/>
        <w:numPr>
          <w:ilvl w:val="0"/>
          <w:numId w:val="4"/>
        </w:numPr>
        <w:spacing w:before="60" w:after="60"/>
      </w:pPr>
      <w:r>
        <w:rPr>
          <w:sz w:val="22"/>
          <w:szCs w:val="22"/>
        </w:rPr>
        <w:t xml:space="preserve">Grever le bien de charges (hypothèque, servitude)</w:t>
      </w:r>
    </w:p>
    <w:p>
      <w:pPr>
        <w:pStyle w:val="ListParagraph"/>
        <w:numPr>
          <w:ilvl w:val="0"/>
          <w:numId w:val="4"/>
        </w:numPr>
        <w:spacing w:before="60" w:after="60"/>
      </w:pPr>
      <w:r>
        <w:rPr>
          <w:sz w:val="22"/>
          <w:szCs w:val="22"/>
        </w:rPr>
        <w:t xml:space="preserve">Abandonner le bien</w:t>
      </w:r>
    </w:p>
    <w:p>
      <w:pPr>
        <w:spacing w:before="150" w:after="80"/>
      </w:pPr>
      <w:r>
        <w:rPr>
          <w:b/>
          <w:bCs/>
          <w:sz w:val="22"/>
          <w:szCs w:val="22"/>
        </w:rPr>
        <w:t xml:space="preserve">2️⃣ DISPOSITION MATÉRIELLE</w:t>
      </w:r>
    </w:p>
    <w:p>
      <w:pPr>
        <w:pStyle w:val="ListParagraph"/>
        <w:numPr>
          <w:ilvl w:val="0"/>
          <w:numId w:val="4"/>
        </w:numPr>
        <w:spacing w:before="60" w:after="60"/>
      </w:pPr>
      <w:r>
        <w:rPr>
          <w:sz w:val="22"/>
          <w:szCs w:val="22"/>
        </w:rPr>
        <w:t xml:space="preserve">Transformer le bien</w:t>
      </w:r>
    </w:p>
    <w:p>
      <w:pPr>
        <w:pStyle w:val="ListParagraph"/>
        <w:numPr>
          <w:ilvl w:val="0"/>
          <w:numId w:val="4"/>
        </w:numPr>
        <w:spacing w:before="60" w:after="60"/>
      </w:pPr>
      <w:r>
        <w:rPr>
          <w:sz w:val="22"/>
          <w:szCs w:val="22"/>
        </w:rPr>
        <w:t xml:space="preserve">Consommer le bien</w:t>
      </w:r>
    </w:p>
    <w:p>
      <w:pPr>
        <w:pStyle w:val="ListParagraph"/>
        <w:numPr>
          <w:ilvl w:val="0"/>
          <w:numId w:val="4"/>
        </w:numPr>
        <w:spacing w:before="60" w:after="60"/>
      </w:pPr>
      <w:r>
        <w:rPr>
          <w:sz w:val="22"/>
          <w:szCs w:val="22"/>
        </w:rPr>
        <w:t xml:space="preserve">Détruire le bien</w:t>
      </w:r>
    </w:p>
    <w:p>
      <w:pPr>
        <w:pStyle w:val="ListParagraph"/>
        <w:numPr>
          <w:ilvl w:val="0"/>
          <w:numId w:val="4"/>
        </w:numPr>
        <w:spacing w:before="60" w:after="60"/>
      </w:pPr>
      <w:r>
        <w:rPr>
          <w:sz w:val="22"/>
          <w:szCs w:val="22"/>
        </w:rPr>
        <w:t xml:space="preserve">Limite : ne pas nuire à autrui</w:t>
      </w:r>
    </w:p>
    <w:p>
      <w:pPr>
        <w:spacing w:before="150"/>
      </w:pPr>
    </w:p>
    <w:p>
      <w:pPr>
        <w:spacing w:before="150" w:after="100"/>
      </w:pPr>
      <w:r>
        <w:rPr>
          <w:b/>
          <w:bCs/>
          <w:color w:val="4472C4"/>
          <w:sz w:val="24"/>
          <w:szCs w:val="24"/>
        </w:rPr>
        <w:t xml:space="preserve">Limites importantes au droit de disposer :</w:t>
      </w:r>
    </w:p>
    <w:p>
      <w:pPr>
        <w:pStyle w:val="ListParagraph"/>
        <w:numPr>
          <w:ilvl w:val="0"/>
          <w:numId w:val="3"/>
        </w:numPr>
        <w:spacing w:before="60" w:after="60"/>
      </w:pPr>
      <w:r>
        <w:rPr>
          <w:sz w:val="22"/>
          <w:szCs w:val="22"/>
        </w:rPr>
        <w:t xml:space="preserve">Droit de l'urbanisme (permis de construire, plans locaux)</w:t>
      </w:r>
    </w:p>
    <w:p>
      <w:pPr>
        <w:pStyle w:val="ListParagraph"/>
        <w:numPr>
          <w:ilvl w:val="0"/>
          <w:numId w:val="3"/>
        </w:numPr>
        <w:spacing w:before="60" w:after="60"/>
      </w:pPr>
      <w:r>
        <w:rPr>
          <w:sz w:val="22"/>
          <w:szCs w:val="22"/>
        </w:rPr>
        <w:t xml:space="preserve">Nécessité d'autorisations administratives</w:t>
      </w:r>
    </w:p>
    <w:p>
      <w:pPr>
        <w:pStyle w:val="ListParagraph"/>
        <w:numPr>
          <w:ilvl w:val="0"/>
          <w:numId w:val="3"/>
        </w:numPr>
        <w:spacing w:before="60" w:after="60"/>
      </w:pPr>
      <w:r>
        <w:rPr>
          <w:sz w:val="22"/>
          <w:szCs w:val="22"/>
        </w:rPr>
        <w:t xml:space="preserve">Clauses d'inaliénabilité (lors de libéralités)</w:t>
      </w:r>
    </w:p>
    <w:p>
      <w:pPr>
        <w:pStyle w:val="ListParagraph"/>
        <w:numPr>
          <w:ilvl w:val="0"/>
          <w:numId w:val="3"/>
        </w:numPr>
        <w:spacing w:before="60" w:after="60"/>
      </w:pPr>
      <w:r>
        <w:rPr>
          <w:sz w:val="22"/>
          <w:szCs w:val="22"/>
        </w:rPr>
        <w:t xml:space="preserve">Jugement d'inaliénabilité (procédures collectives)</w:t>
      </w:r>
    </w:p>
    <w:p>
      <w:pPr>
        <w:pStyle w:val="ListParagraph"/>
        <w:numPr>
          <w:ilvl w:val="0"/>
          <w:numId w:val="3"/>
        </w:numPr>
        <w:spacing w:before="60" w:after="60"/>
      </w:pPr>
      <w:r>
        <w:rPr>
          <w:sz w:val="22"/>
          <w:szCs w:val="22"/>
        </w:rPr>
        <w:t xml:space="preserve">Inaliénabilité légale (part successorale réservataire)</w:t>
      </w:r>
    </w:p>
    <w:p>
      <w:pPr>
        <w:spacing w:before="2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4F8" w:val="clear"/>
            <w:tcMar>
              <w:top w:type="dxa" w:w="120"/>
              <w:left w:type="dxa" w:w="180"/>
              <w:bottom w:type="dxa" w:w="120"/>
              <w:right w:type="dxa" w:w="180"/>
            </w:tcMar>
          </w:tcPr>
          <w:p>
            <w:pPr>
              <w:spacing w:after="100"/>
            </w:pPr>
            <w:r>
              <w:rPr>
                <w:b/>
                <w:bCs/>
                <w:sz w:val="24"/>
                <w:szCs w:val="24"/>
              </w:rPr>
              <w:t xml:space="preserve">📖 ARTICLE 545 C.CIV.</w:t>
            </w:r>
          </w:p>
          <w:p>
            <w:r>
              <w:rPr>
                <w:sz w:val="22"/>
                <w:szCs w:val="22"/>
              </w:rPr>
              <w:t xml:space="preserve">"Nul ne peut être contraint de céder sa propriété, si ce n'est pour cause d'utilité publique, et moyennant une juste et préalable indemnité."</w:t>
            </w:r>
          </w:p>
        </w:tc>
      </w:tr>
    </w:tbl>
    <w:p>
      <w:r>
        <w:br w:type="page"/>
      </w:r>
    </w:p>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