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sectPr w:rsidR="00FC693F" w:rsidRPr="0006063C" w:rsidSect="00034616">
      <w:pgSz w:w="12240" w:h="15840"/>
      <w:pgMar w:top="1440" w:right="1440" w:bottom="1440" w:left="1440" w:header="720" w:footer="720" w:gutter="0"/>
      <w:cols w:space="720"/>
      <w:docGrid w:linePitch="360"/>
    </w:sectPr>
    <w:p>
      <w:pPr>
        <w:pStyle w:val="Heading1"/>
        <w:spacing w:before="240" w:after="240"/>
        <w:jc w:val="center"/>
      </w:pPr>
      <w:r>
        <w:rPr>
          <w:b/>
          <w:bCs/>
          <w:color w:val="1F4788"/>
          <w:sz w:val="32"/>
          <w:szCs w:val="32"/>
        </w:rPr>
        <w:t xml:space="preserve">FICHE 10 - ÉTENDUE DE LA PROPRIÉTÉ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4F8" w:val="clear"/>
            <w:tcMar>
              <w:top w:type="dxa" w:w="120"/>
              <w:left w:type="dxa" w:w="180"/>
              <w:bottom w:type="dxa" w:w="120"/>
              <w:right w:type="dxa" w:w="180"/>
            </w:tcMar>
          </w:tcPr>
          <w:p>
            <w:pPr>
              <w:spacing w:after="100"/>
            </w:pPr>
            <w:r>
              <w:rPr>
                <w:b/>
                <w:bCs/>
                <w:sz w:val="24"/>
                <w:szCs w:val="24"/>
              </w:rPr>
              <w:t xml:space="preserve">📖 ARTICLE 552 C.CIV.</w:t>
            </w:r>
          </w:p>
          <w:p>
            <w:r>
              <w:rPr>
                <w:sz w:val="22"/>
                <w:szCs w:val="22"/>
              </w:rPr>
              <w:t xml:space="preserve">"La propriété du sol emporte la propriété du dessus et du dessous"</w:t>
            </w:r>
          </w:p>
        </w:tc>
      </w:tr>
    </w:tbl>
    <w:p>
      <w:pPr>
        <w:spacing w:before="200"/>
      </w:pPr>
    </w:p>
    <w:p>
      <w:pPr>
        <w:pStyle w:val="Heading2"/>
        <w:spacing w:before="200" w:after="120"/>
      </w:pPr>
      <w:r>
        <w:rPr>
          <w:b/>
          <w:bCs/>
          <w:color w:val="2E5C8A"/>
          <w:sz w:val="28"/>
          <w:szCs w:val="28"/>
        </w:rPr>
        <w:t xml:space="preserve">I. PROPRIÉTÉ DU DESSUS ET DU DESSOUS</w:t>
      </w:r>
    </w:p>
    <w:p>
      <w:pPr>
        <w:spacing w:before="150" w:after="100"/>
      </w:pPr>
      <w:r>
        <w:rPr>
          <w:b/>
          <w:bCs/>
          <w:color w:val="4472C4"/>
          <w:sz w:val="24"/>
          <w:szCs w:val="24"/>
        </w:rPr>
        <w:t xml:space="preserve">A. Propriété du DESSUS</w:t>
      </w: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Toutes constructions et plantations souhaitées sur le sol</w:t>
      </w: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Espace aérien (dans certaines limites)</w:t>
      </w: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Limite : passage d'avions dans l'espace aérien public</w:t>
      </w: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Refus de toute intrusion : branches d'arbre, bâtiment, câbles</w:t>
      </w: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En cas de construction interdite : démolition OU appropriation du bien</w:t>
      </w:r>
    </w:p>
    <w:p>
      <w:pPr>
        <w:spacing w:before="120"/>
      </w:pP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4F8" w:val="clear"/>
            <w:tcMar>
              <w:top w:type="dxa" w:w="120"/>
              <w:left w:type="dxa" w:w="180"/>
              <w:bottom w:type="dxa" w:w="120"/>
              <w:right w:type="dxa" w:w="180"/>
            </w:tcMar>
          </w:tcPr>
          <w:p>
            <w:pPr>
              <w:spacing w:after="100"/>
            </w:pPr>
            <w:r>
              <w:rPr>
                <w:b/>
                <w:bCs/>
                <w:sz w:val="24"/>
                <w:szCs w:val="24"/>
              </w:rPr>
              <w:t xml:space="preserve">⚠️ RÉSERVES</w:t>
            </w:r>
          </w:p>
          <w:p>
            <w:r>
              <w:rPr>
                <w:sz w:val="22"/>
                <w:szCs w:val="22"/>
              </w:rPr>
              <w:t xml:space="preserve">Servitudes foncières, règles d'urbanisme, droit de l'environnement</w:t>
            </w:r>
          </w:p>
        </w:tc>
      </w:tr>
    </w:tbl>
    <w:p>
      <w:pPr>
        <w:spacing w:before="150"/>
      </w:pPr>
    </w:p>
    <w:p>
      <w:pPr>
        <w:spacing w:before="150" w:after="100"/>
      </w:pPr>
      <w:r>
        <w:rPr>
          <w:b/>
          <w:bCs/>
          <w:color w:val="4472C4"/>
          <w:sz w:val="24"/>
          <w:szCs w:val="24"/>
        </w:rPr>
        <w:t xml:space="preserve">B. Propriété du DESSOUS</w:t>
      </w: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Droit de creuser : fouilles, caves, conduits</w:t>
      </w: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Tréfonds, sous-sol, nappes phréatiques</w:t>
      </w: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Refus d'extension du voisin en dessous (cave, racines d'arbre)</w:t>
      </w: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Limite : règles relatives aux mines et carrières, police</w:t>
      </w:r>
    </w:p>
    <w:p>
      <w:pPr>
        <w:spacing w:before="120"/>
      </w:pP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8DC" w:val="clear"/>
            <w:tcMar>
              <w:top w:type="dxa" w:w="120"/>
              <w:left w:type="dxa" w:w="180"/>
              <w:bottom w:type="dxa" w:w="120"/>
              <w:right w:type="dxa" w:w="180"/>
            </w:tcMar>
          </w:tcPr>
          <w:p>
            <w:pPr>
              <w:spacing w:after="100"/>
            </w:pPr>
            <w:r>
              <w:rPr>
                <w:b/>
                <w:bCs/>
                <w:sz w:val="24"/>
                <w:szCs w:val="24"/>
              </w:rPr>
              <w:t xml:space="preserve">⚖️ AFFAIRE GROTTES DE CHAUVET</w:t>
            </w:r>
          </w:p>
          <w:p>
            <w:r>
              <w:rPr>
                <w:sz w:val="22"/>
                <w:szCs w:val="22"/>
              </w:rPr>
              <w:t xml:space="preserve">Trois familles ardéchoises ont gagné 13 millions d'euros après expropriation par l'État de leur sous-sol contenant les grottes (2858 m²).</w:t>
            </w:r>
          </w:p>
        </w:tc>
      </w:tr>
    </w:tbl>
    <w:p>
      <w:pPr>
        <w:spacing w:before="120"/>
      </w:pP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8DC" w:val="clear"/>
            <w:tcMar>
              <w:top w:type="dxa" w:w="120"/>
              <w:left w:type="dxa" w:w="180"/>
              <w:bottom w:type="dxa" w:w="120"/>
              <w:right w:type="dxa" w:w="180"/>
            </w:tcMar>
          </w:tcPr>
          <w:p>
            <w:pPr>
              <w:spacing w:after="100"/>
            </w:pPr>
            <w:r>
              <w:rPr>
                <w:b/>
                <w:bCs/>
                <w:sz w:val="24"/>
                <w:szCs w:val="24"/>
              </w:rPr>
              <w:t xml:space="preserve">⚖️ PRÉSOMPTION SIMPLE</w:t>
            </w:r>
          </w:p>
          <w:p>
            <w:r>
              <w:rPr>
                <w:sz w:val="22"/>
                <w:szCs w:val="22"/>
              </w:rPr>
              <w:t xml:space="preserve">Cass. 1ère civ., 13 mai 2015 : la propriété du dessous n'est qu'une présomption simple, renversable par titre ou prescription acquisitive (ex : cave appartenant à d'autres).</w:t>
            </w:r>
          </w:p>
        </w:tc>
      </w:tr>
    </w:tbl>
    <w:p>
      <w:pPr>
        <w:spacing w:before="120"/>
      </w:pP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4F8" w:val="clear"/>
            <w:tcMar>
              <w:top w:type="dxa" w:w="120"/>
              <w:left w:type="dxa" w:w="180"/>
              <w:bottom w:type="dxa" w:w="120"/>
              <w:right w:type="dxa" w:w="180"/>
            </w:tcMar>
          </w:tcPr>
          <w:p>
            <w:pPr>
              <w:spacing w:after="100"/>
            </w:pPr>
            <w:r>
              <w:rPr>
                <w:b/>
                <w:bCs/>
                <w:sz w:val="24"/>
                <w:szCs w:val="24"/>
              </w:rPr>
              <w:t xml:space="preserve">📜 AVANT-PROJET - Proposition art. 561</w:t>
            </w:r>
          </w:p>
          <w:p>
            <w:r>
              <w:rPr>
                <w:sz w:val="22"/>
                <w:szCs w:val="22"/>
              </w:rPr>
              <w:t xml:space="preserve">"La propriété du sol emporte, dans les limites posées par les lois et conventions, la propriété du dessus et du dessous."</w:t>
            </w:r>
          </w:p>
        </w:tc>
      </w:tr>
    </w:tbl>
    <w:p>
      <w:r>
        <w:br w:type="page"/>
      </w:r>
    </w:p>
    <w:p>
      <w:pPr>
        <w:pStyle w:val="Heading2"/>
        <w:spacing w:before="200" w:after="120"/>
      </w:pPr>
      <w:r>
        <w:rPr>
          <w:b/>
          <w:bCs/>
          <w:color w:val="2E5C8A"/>
          <w:sz w:val="28"/>
          <w:szCs w:val="28"/>
        </w:rPr>
        <w:t xml:space="preserve">II. LE DROIT D'ACCESSION (art. 551)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4F8" w:val="clear"/>
            <w:tcMar>
              <w:top w:type="dxa" w:w="120"/>
              <w:left w:type="dxa" w:w="180"/>
              <w:bottom w:type="dxa" w:w="120"/>
              <w:right w:type="dxa" w:w="180"/>
            </w:tcMar>
          </w:tcPr>
          <w:p>
            <w:pPr>
              <w:spacing w:after="100"/>
            </w:pPr>
            <w:r>
              <w:rPr>
                <w:b/>
                <w:bCs/>
                <w:sz w:val="24"/>
                <w:szCs w:val="24"/>
              </w:rPr>
              <w:t xml:space="preserve">📌 PRINCIPE FONDAMENTAL</w:t>
            </w:r>
          </w:p>
          <w:p>
            <w:r>
              <w:rPr>
                <w:sz w:val="22"/>
                <w:szCs w:val="22"/>
              </w:rPr>
              <w:t xml:space="preserve">"L'accessoire suit le principal" - Le propriétaire du sol est propriétaire de tout ce qui s'unit ou s'incorpore à la chose.</w:t>
            </w:r>
          </w:p>
        </w:tc>
      </w:tr>
    </w:tbl>
    <w:p>
      <w:pPr>
        <w:spacing w:before="150"/>
      </w:pP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4F8" w:val="clear"/>
            <w:tcMar>
              <w:top w:type="dxa" w:w="120"/>
              <w:left w:type="dxa" w:w="180"/>
              <w:bottom w:type="dxa" w:w="120"/>
              <w:right w:type="dxa" w:w="180"/>
            </w:tcMar>
          </w:tcPr>
          <w:p>
            <w:pPr>
              <w:spacing w:after="100"/>
            </w:pPr>
            <w:r>
              <w:rPr>
                <w:b/>
                <w:bCs/>
                <w:sz w:val="24"/>
                <w:szCs w:val="24"/>
              </w:rPr>
              <w:t xml:space="preserve">📜 AVANT-PROJET - Proposition art. 563</w:t>
            </w:r>
          </w:p>
          <w:p>
            <w:r>
              <w:rPr>
                <w:sz w:val="22"/>
                <w:szCs w:val="22"/>
              </w:rPr>
              <w:t xml:space="preserve">"Tout ce qui s'unit et s'incorpore à une chose corporelle appartient au propriétaire de cette chose. Toutes les constructions et plantations sont présumées faites par le propriétaire à ses frais."</w:t>
            </w:r>
          </w:p>
        </w:tc>
      </w:tr>
    </w:tbl>
    <w:p>
      <w:pPr>
        <w:spacing w:before="120"/>
      </w:pP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8DC" w:val="clear"/>
            <w:tcMar>
              <w:top w:type="dxa" w:w="120"/>
              <w:left w:type="dxa" w:w="180"/>
              <w:bottom w:type="dxa" w:w="120"/>
              <w:right w:type="dxa" w:w="180"/>
            </w:tcMar>
          </w:tcPr>
          <w:p>
            <w:pPr>
              <w:spacing w:after="100"/>
            </w:pPr>
            <w:r>
              <w:rPr>
                <w:b/>
                <w:bCs/>
                <w:sz w:val="24"/>
                <w:szCs w:val="24"/>
              </w:rPr>
              <w:t xml:space="preserve">⚖️ PRÉSOMPTION SIMPLE</w:t>
            </w:r>
          </w:p>
          <w:p>
            <w:r>
              <w:rPr>
                <w:sz w:val="22"/>
                <w:szCs w:val="22"/>
              </w:rPr>
              <w:t xml:space="preserve">Cass. 3e civ., 27 avril 2017 : présomption de propriété par accession renversable par prescription acquisitive.</w:t>
            </w:r>
          </w:p>
        </w:tc>
      </w:tr>
    </w:tbl>
    <w:p>
      <w:pPr>
        <w:spacing w:before="200"/>
      </w:pPr>
    </w:p>
    <w:p>
      <w:pPr>
        <w:spacing w:before="150" w:after="100"/>
      </w:pPr>
      <w:r>
        <w:rPr>
          <w:b/>
          <w:bCs/>
          <w:color w:val="4472C4"/>
          <w:sz w:val="24"/>
          <w:szCs w:val="24"/>
        </w:rPr>
        <w:t xml:space="preserve">A. Accession par PRODUCTION (art. 546, 547-550)</w:t>
      </w:r>
    </w:p>
    <w:p>
      <w:r>
        <w:rPr>
          <w:i/>
          <w:iCs/>
          <w:sz w:val="22"/>
          <w:szCs w:val="22"/>
        </w:rPr>
        <w:t xml:space="preserve">💡 Nature juridique :</w:t>
      </w: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Pas une accession au sens strict (pas de dualité de propriétaires)</w:t>
      </w: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Justification de l'appropriation des fruits par le propriétaire</w:t>
      </w: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Renvoie au FRUCTUS déjà étudié</w:t>
      </w: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Articles 547-550 : tout ce que produit le bien appartient au propriétaire</w:t>
      </w:r>
    </w:p>
    <w:p>
      <w:pPr>
        <w:spacing w:before="120"/>
      </w:pPr>
    </w:p>
    <w:p>
      <w:r>
        <w:rPr>
          <w:b/>
          <w:bCs/>
          <w:sz w:val="22"/>
          <w:szCs w:val="22"/>
        </w:rPr>
        <w:t xml:space="preserve">⚖️ Conflits possibles :</w:t>
      </w: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Démembrement de propriété : jouissance conférée à un tiers (locataire, usufruitier)</w:t>
      </w: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Possesseur de bonne foi : conserve les fruits perçus tant qu'il ignore ne pas être propriétaire</w:t>
      </w: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Locataire sous-louant sans accord : doit rembourser les sous-loyers</w:t>
      </w:r>
    </w:p>
    <w:p>
      <w:r>
        <w:br w:type="page"/>
      </w:r>
    </w:p>
    <w:p>
      <w:pPr>
        <w:spacing w:before="150" w:after="100"/>
      </w:pPr>
      <w:r>
        <w:rPr>
          <w:b/>
          <w:bCs/>
          <w:color w:val="4472C4"/>
          <w:sz w:val="24"/>
          <w:szCs w:val="24"/>
        </w:rPr>
        <w:t xml:space="preserve">B. Accession par INCORPORATION</w:t>
      </w:r>
    </w:p>
    <w:p>
      <w:pPr>
        <w:spacing w:before="120" w:after="100"/>
      </w:pPr>
      <w:r>
        <w:rPr>
          <w:b/>
          <w:bCs/>
          <w:sz w:val="24"/>
          <w:szCs w:val="24"/>
        </w:rPr>
        <w:t xml:space="preserve">1️⃣ INCORPORATION À UN MEUBLE (art. 565 et s.)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4F8" w:val="clear"/>
            <w:tcMar>
              <w:top w:type="dxa" w:w="120"/>
              <w:left w:type="dxa" w:w="180"/>
              <w:bottom w:type="dxa" w:w="120"/>
              <w:right w:type="dxa" w:w="180"/>
            </w:tcMar>
          </w:tcPr>
          <w:p>
            <w:pPr>
              <w:spacing w:after="100"/>
            </w:pPr>
            <w:r>
              <w:rPr>
                <w:b/>
                <w:bCs/>
                <w:sz w:val="24"/>
                <w:szCs w:val="24"/>
              </w:rPr>
              <w:t xml:space="preserve">⚖️ PRINCIPE D'ÉQUITÉ NATURELLE</w:t>
            </w:r>
          </w:p>
          <w:p>
            <w:r>
              <w:rPr>
                <w:sz w:val="22"/>
                <w:szCs w:val="22"/>
              </w:rPr>
              <w:t xml:space="preserve">"Le droit d'accession est entièrement subordonné aux principes de l'équité naturelle" - art. 565</w:t>
            </w:r>
          </w:p>
        </w:tc>
      </w:tr>
    </w:tbl>
    <w:p>
      <w:pPr>
        <w:spacing w:before="120"/>
      </w:pPr>
    </w:p>
    <w:p>
      <w:r>
        <w:rPr>
          <w:b/>
          <w:bCs/>
          <w:sz w:val="22"/>
          <w:szCs w:val="22"/>
        </w:rPr>
        <w:t xml:space="preserve">📋 Conditions cumulatives :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sz w:val="22"/>
          <w:szCs w:val="22"/>
        </w:rPr>
        <w:t xml:space="preserve">Deux biens mobiliers appartenant à deux propriétaires différents s'incorporent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sz w:val="22"/>
          <w:szCs w:val="22"/>
        </w:rPr>
        <w:t xml:space="preserve">Incorporation ne résulte PAS d'une convention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sz w:val="22"/>
          <w:szCs w:val="22"/>
        </w:rPr>
        <w:t xml:space="preserve">Règles de l'art. 2276 (possession mobilière) ne s'appliquent pas</w:t>
      </w:r>
    </w:p>
    <w:p>
      <w:pPr>
        <w:spacing w:before="120"/>
      </w:pPr>
    </w:p>
    <w:p>
      <w:r>
        <w:rPr>
          <w:b/>
          <w:bCs/>
          <w:sz w:val="22"/>
          <w:szCs w:val="22"/>
        </w:rPr>
        <w:t xml:space="preserve">📌 Trois types d'accession mobilière :</w:t>
      </w:r>
    </w:p>
    <w:p>
      <w:pPr>
        <w:pStyle w:val="ListParagraph"/>
        <w:numPr>
          <w:ilvl w:val="0"/>
          <w:numId w:val="4"/>
        </w:numPr>
        <w:spacing w:before="60" w:after="60"/>
      </w:pPr>
      <w:r>
        <w:rPr>
          <w:sz w:val="22"/>
          <w:szCs w:val="22"/>
        </w:rPr>
        <w:t xml:space="preserve">UNION : assemblage de deux meubles (pierres précieuses sur collier)</w:t>
      </w:r>
    </w:p>
    <w:p>
      <w:pPr>
        <w:pStyle w:val="ListParagraph"/>
        <w:numPr>
          <w:ilvl w:val="0"/>
          <w:numId w:val="4"/>
        </w:numPr>
        <w:spacing w:before="60" w:after="60"/>
      </w:pPr>
      <w:r>
        <w:rPr>
          <w:sz w:val="22"/>
          <w:szCs w:val="22"/>
        </w:rPr>
        <w:t xml:space="preserve">MÉLANGE : confusion de substances (vin, huile)</w:t>
      </w:r>
    </w:p>
    <w:p>
      <w:pPr>
        <w:pStyle w:val="ListParagraph"/>
        <w:numPr>
          <w:ilvl w:val="0"/>
          <w:numId w:val="4"/>
        </w:numPr>
        <w:spacing w:before="60" w:after="60"/>
      </w:pPr>
      <w:r>
        <w:rPr>
          <w:sz w:val="22"/>
          <w:szCs w:val="22"/>
        </w:rPr>
        <w:t xml:space="preserve">SPÉCIFICATION : création d'une chose nouvelle (bois → meuble)</w:t>
      </w:r>
    </w:p>
    <w:p>
      <w:pPr>
        <w:spacing w:before="100"/>
      </w:pP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CAS MARGINAUX : la plupart du temps réglés par convention</w:t>
      </w: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Moins problématique que pour les immeubles</w:t>
      </w:r>
    </w:p>
    <w:p>
      <w:r>
        <w:br w:type="page"/>
      </w:r>
    </w:p>
    <w:p>
      <w:pPr>
        <w:spacing w:before="120" w:after="100"/>
      </w:pPr>
      <w:r>
        <w:rPr>
          <w:b/>
          <w:bCs/>
          <w:sz w:val="24"/>
          <w:szCs w:val="24"/>
        </w:rPr>
        <w:t xml:space="preserve">2️⃣ INCORPORATION À UN IMMEUBLE</w:t>
      </w:r>
    </w:p>
    <w:p>
      <w:r>
        <w:rPr>
          <w:b/>
          <w:bCs/>
          <w:sz w:val="22"/>
          <w:szCs w:val="22"/>
        </w:rPr>
        <w:t xml:space="preserve">🌿 A. Incorporation NATURELLE (art. 556-563)</w:t>
      </w:r>
    </w:p>
    <w:p>
      <w:pPr>
        <w:spacing w:before="100"/>
      </w:pP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Le propriétaire du sol devient propriétaire de ce qui s'y incorpore ou dépose naturellement</w:t>
      </w: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ALLUVIONS : dépôts de sédiments (sable, graviers) au bord d'une rivière</w:t>
      </w: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ÎLES ou ÎLOTS formés au milieu d'un cours d'eau</w:t>
      </w: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ANIMAUX SAUVAGES s'installant sur le fonds (art. 564) - sauf attraction frauduleuse</w:t>
      </w:r>
    </w:p>
    <w:p>
      <w:pPr>
        <w:spacing w:before="150"/>
      </w:pPr>
    </w:p>
    <w:p>
      <w:r>
        <w:rPr>
          <w:b/>
          <w:bCs/>
          <w:sz w:val="22"/>
          <w:szCs w:val="22"/>
        </w:rPr>
        <w:t xml:space="preserve">🏗️ B. Incorporation ARTIFICIELLE</w:t>
      </w:r>
    </w:p>
    <w:p>
      <w:pPr>
        <w:spacing w:before="100"/>
      </w:pP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4F8" w:val="clear"/>
            <w:tcMar>
              <w:top w:type="dxa" w:w="120"/>
              <w:left w:type="dxa" w:w="180"/>
              <w:bottom w:type="dxa" w:w="120"/>
              <w:right w:type="dxa" w:w="180"/>
            </w:tcMar>
          </w:tcPr>
          <w:p>
            <w:pPr>
              <w:spacing w:after="100"/>
            </w:pPr>
            <w:r>
              <w:rPr>
                <w:b/>
                <w:bCs/>
                <w:sz w:val="24"/>
                <w:szCs w:val="24"/>
              </w:rPr>
              <w:t xml:space="preserve">📖 ARTICLE 553 - PRÉSOMPTION SIMPLE</w:t>
            </w:r>
          </w:p>
          <w:p>
            <w:r>
              <w:rPr>
                <w:sz w:val="22"/>
                <w:szCs w:val="22"/>
              </w:rPr>
              <w:t xml:space="preserve">"Toutes constructions, plantations et ouvrages sont présumés faits par le propriétaire à ses frais et lui appartenir, si le contraire n'est prouvé."</w:t>
            </w:r>
          </w:p>
        </w:tc>
      </w:tr>
    </w:tbl>
    <w:p>
      <w:pPr>
        <w:spacing w:before="120"/>
      </w:pP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Résulte du travail de l'homme : constructions, plantations, ouvrages</w:t>
      </w: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Principe : tout appartient au propriétaire du sol</w:t>
      </w: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Deux cas problématiques nécessitant règles spécifiques</w:t>
      </w:r>
    </w:p>
    <w:p>
      <w:pPr>
        <w:spacing w:before="150"/>
      </w:pP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6E6" w:val="clear"/>
            <w:tcMar>
              <w:top w:type="dxa" w:w="120"/>
              <w:left w:type="dxa" w:w="180"/>
              <w:bottom w:type="dxa" w:w="120"/>
              <w:right w:type="dxa" w:w="180"/>
            </w:tcMar>
          </w:tcPr>
          <w:p>
            <w:pPr>
              <w:spacing w:after="100"/>
            </w:pPr>
            <w:r>
              <w:rPr>
                <w:b/>
                <w:bCs/>
                <w:sz w:val="24"/>
                <w:szCs w:val="24"/>
              </w:rPr>
              <w:t xml:space="preserve">🔧 CAS 1 : Propriétaire du terrain construit avec matériaux d'autrui (art. 554)</w:t>
            </w:r>
          </w:p>
          <w:p>
            <w:r>
              <w:rPr>
                <w:sz w:val="22"/>
                <w:szCs w:val="22"/>
              </w:rPr>
              <w:t xml:space="preserve">Le propriétaire du sol devient propriétaire de la construction ET des matériaux. Mais il doit payer la valeur des matériaux (à la date du paiement) + possibles dommages-intérêts si mauvaise foi. Le propriétaire des matériaux ne peut PAS les enlever ni demander la démolition.</w:t>
            </w:r>
          </w:p>
        </w:tc>
      </w:tr>
    </w:tbl>
    <w:p>
      <w:pPr>
        <w:spacing w:before="150"/>
      </w:pP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6E6" w:val="clear"/>
            <w:tcMar>
              <w:top w:type="dxa" w:w="120"/>
              <w:left w:type="dxa" w:w="180"/>
              <w:bottom w:type="dxa" w:w="120"/>
              <w:right w:type="dxa" w:w="180"/>
            </w:tcMar>
          </w:tcPr>
          <w:p>
            <w:pPr>
              <w:spacing w:after="100"/>
            </w:pPr>
            <w:r>
              <w:rPr>
                <w:b/>
                <w:bCs/>
                <w:sz w:val="24"/>
                <w:szCs w:val="24"/>
              </w:rPr>
              <w:t xml:space="preserve">🏠 CAS 2 : Tiers construit sur le terrain d'autrui avec SES matériaux (art. 555)</w:t>
            </w:r>
          </w:p>
          <w:p>
            <w:r>
              <w:rPr>
                <w:sz w:val="22"/>
                <w:szCs w:val="22"/>
              </w:rPr>
              <w:t xml:space="preserve">Règles complexes conciliant intérêts du propriétaire du sol et du constructeur. Variables selon la BONNE ou MAUVAISE FOI du constructeur.</w:t>
            </w:r>
          </w:p>
        </w:tc>
      </w:tr>
    </w:tbl>
    <w:p>
      <w:pPr>
        <w:spacing w:before="120"/>
      </w:pPr>
    </w:p>
    <w:p>
      <w:r>
        <w:rPr>
          <w:b/>
          <w:bCs/>
          <w:sz w:val="22"/>
          <w:szCs w:val="22"/>
        </w:rPr>
        <w:t xml:space="preserve">📋 Définition de la bonne foi (art. 550) :</w:t>
      </w:r>
    </w:p>
    <w:p>
      <w:pPr>
        <w:pStyle w:val="ListParagraph"/>
        <w:numPr>
          <w:ilvl w:val="0"/>
          <w:numId w:val="4"/>
        </w:numPr>
        <w:spacing w:before="60" w:after="60"/>
      </w:pPr>
      <w:r>
        <w:rPr>
          <w:sz w:val="22"/>
          <w:szCs w:val="22"/>
        </w:rPr>
        <w:t xml:space="preserve">Possède comme propriétaire en vertu d'un titre translatif</w:t>
      </w:r>
    </w:p>
    <w:p>
      <w:pPr>
        <w:pStyle w:val="ListParagraph"/>
        <w:numPr>
          <w:ilvl w:val="0"/>
          <w:numId w:val="4"/>
        </w:numPr>
        <w:spacing w:before="60" w:after="60"/>
      </w:pPr>
      <w:r>
        <w:rPr>
          <w:sz w:val="22"/>
          <w:szCs w:val="22"/>
        </w:rPr>
        <w:t xml:space="preserve">IGNORE les vices du titre</w:t>
      </w:r>
    </w:p>
    <w:p>
      <w:pPr>
        <w:pStyle w:val="ListParagraph"/>
        <w:numPr>
          <w:ilvl w:val="0"/>
          <w:numId w:val="4"/>
        </w:numPr>
        <w:spacing w:before="60" w:after="60"/>
      </w:pPr>
      <w:r>
        <w:rPr>
          <w:sz w:val="22"/>
          <w:szCs w:val="22"/>
        </w:rPr>
        <w:t xml:space="preserve">A agi en étant persuadé d'être propriétaire</w:t>
      </w:r>
    </w:p>
    <w:p>
      <w:pPr>
        <w:pStyle w:val="ListParagraph"/>
        <w:numPr>
          <w:ilvl w:val="0"/>
          <w:numId w:val="4"/>
        </w:numPr>
        <w:spacing w:before="60" w:after="60"/>
      </w:pPr>
      <w:r>
        <w:rPr>
          <w:sz w:val="22"/>
          <w:szCs w:val="22"/>
        </w:rPr>
        <w:t xml:space="preserve">Jurisprudence : bonne foi peut résulter d'une autorisation du propriétaire (Cass. 3e civ., 17 déc. 2013)</w:t>
      </w:r>
    </w:p>
    <w:p>
      <w:r>
        <w:br w:type="page"/>
      </w:r>
    </w:p>
    <w:p>
      <w:r>
        <w:rPr>
          <w:b/>
          <w:bCs/>
          <w:color w:val="C00000"/>
          <w:sz w:val="24"/>
          <w:szCs w:val="24"/>
        </w:rPr>
        <w:t xml:space="preserve">⚖️ SOLUTIONS SELON LA BONNE OU MAUVAISE FOI :</w:t>
      </w:r>
    </w:p>
    <w:p>
      <w:pPr>
        <w:spacing w:before="150"/>
      </w:pP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4EDDA" w:val="clear"/>
            <w:tcMar>
              <w:top w:type="dxa" w:w="120"/>
              <w:left w:type="dxa" w:w="180"/>
              <w:bottom w:type="dxa" w:w="120"/>
              <w:right w:type="dxa" w:w="180"/>
            </w:tcMar>
          </w:tcPr>
          <w:p>
            <w:pPr>
              <w:spacing w:after="100"/>
            </w:pPr>
            <w:r>
              <w:rPr>
                <w:b/>
                <w:bCs/>
                <w:sz w:val="24"/>
                <w:szCs w:val="24"/>
              </w:rPr>
              <w:t xml:space="preserve">✅ CONSTRUCTEUR DE BONNE FOI</w:t>
            </w:r>
          </w:p>
          <w:p>
            <w:r>
              <w:rPr>
                <w:sz w:val="22"/>
                <w:szCs w:val="22"/>
              </w:rPr>
              <w:t xml:space="preserve">Le propriétaire du sol a le CHOIX entre deux options (art. 555 al. 1). Le juge ne peut pas lui imposer un autre choix.</w:t>
            </w:r>
          </w:p>
        </w:tc>
      </w:tr>
    </w:tbl>
    <w:p>
      <w:pPr>
        <w:spacing w:before="100"/>
      </w:pP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sz w:val="22"/>
          <w:szCs w:val="22"/>
        </w:rPr>
        <w:t xml:space="preserve">OPTION 1 : Conserver les constructions en remboursant au constructeur la valeur des matériaux + main d'œuvre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sz w:val="22"/>
          <w:szCs w:val="22"/>
        </w:rPr>
        <w:t xml:space="preserve">OPTION 2 : Conserver les constructions en payant une somme = augmentation de valeur du fonds</w:t>
      </w:r>
    </w:p>
    <w:p>
      <w:pPr>
        <w:spacing w:before="100"/>
      </w:pP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8DC" w:val="clear"/>
            <w:tcMar>
              <w:top w:type="dxa" w:w="120"/>
              <w:left w:type="dxa" w:w="180"/>
              <w:bottom w:type="dxa" w:w="120"/>
              <w:right w:type="dxa" w:w="180"/>
            </w:tcMar>
          </w:tcPr>
          <w:p>
            <w:pPr>
              <w:spacing w:after="100"/>
            </w:pPr>
            <w:r>
              <w:rPr>
                <w:b/>
                <w:bCs/>
                <w:sz w:val="24"/>
                <w:szCs w:val="24"/>
              </w:rPr>
              <w:t xml:space="preserve">⚖️ Cass. 3e civ., 12 oct. 2011</w:t>
            </w:r>
          </w:p>
          <w:p>
            <w:r>
              <w:rPr>
                <w:sz w:val="22"/>
                <w:szCs w:val="22"/>
              </w:rPr>
              <w:t xml:space="preserve">Le constructeur de bonne foi ne peut PAS être condamné à payer la moins-value d'encombrement. Seul le propriétaire peut devoir rembourser.</w:t>
            </w:r>
          </w:p>
        </w:tc>
      </w:tr>
    </w:tbl>
    <w:p>
      <w:pPr>
        <w:spacing w:before="150"/>
      </w:pP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D7DA" w:val="clear"/>
            <w:tcMar>
              <w:top w:type="dxa" w:w="120"/>
              <w:left w:type="dxa" w:w="180"/>
              <w:bottom w:type="dxa" w:w="120"/>
              <w:right w:type="dxa" w:w="180"/>
            </w:tcMar>
          </w:tcPr>
          <w:p>
            <w:pPr>
              <w:spacing w:after="100"/>
            </w:pPr>
            <w:r>
              <w:rPr>
                <w:b/>
                <w:bCs/>
                <w:sz w:val="24"/>
                <w:szCs w:val="24"/>
              </w:rPr>
              <w:t xml:space="preserve">❌ CONSTRUCTEUR DE MAUVAISE FOI</w:t>
            </w:r>
          </w:p>
          <w:p>
            <w:r>
              <w:rPr>
                <w:sz w:val="22"/>
                <w:szCs w:val="22"/>
              </w:rPr>
              <w:t xml:space="preserve">Le propriétaire du sol a également le CHOIX entre deux options, mais plus favorables (art. 555 al. 2).</w:t>
            </w:r>
          </w:p>
        </w:tc>
      </w:tr>
    </w:tbl>
    <w:p>
      <w:pPr>
        <w:spacing w:before="100"/>
      </w:pP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sz w:val="22"/>
          <w:szCs w:val="22"/>
        </w:rPr>
        <w:t xml:space="preserve">OPTION 1 : Exiger la démolition aux frais du constructeur + dommages-intérêts pour préjudice subi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sz w:val="22"/>
          <w:szCs w:val="22"/>
        </w:rPr>
        <w:t xml:space="preserve">OPTION 2 : Conserver les constructions SANS INDEMNITÉ (ou en payant seulement la valeur des matériaux si le juge l'ordonne)</w:t>
      </w:r>
    </w:p>
    <w:p>
      <w:pPr>
        <w:spacing w:before="150"/>
      </w:pPr>
    </w:p>
    <w:p>
      <w:r>
        <w:rPr>
          <w:b/>
          <w:bCs/>
          <w:sz w:val="22"/>
          <w:szCs w:val="22"/>
        </w:rPr>
        <w:t xml:space="preserve">📌 Précisions importantes sur l'article 555 :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sz w:val="22"/>
          <w:szCs w:val="22"/>
        </w:rPr>
        <w:t xml:space="preserve">Le CHOIX appartient TOUJOURS au propriétaire du sol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sz w:val="22"/>
          <w:szCs w:val="22"/>
        </w:rPr>
        <w:t xml:space="preserve">Si le propriétaire ne se prononce pas, le juge peut laisser la décision au constructeur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sz w:val="22"/>
          <w:szCs w:val="22"/>
        </w:rPr>
        <w:t xml:space="preserve">Ne s'applique qu'aux constructions ENTIÈREMENT réalisées sur le terrain d'autrui (pas aux simples empiètements)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sz w:val="22"/>
          <w:szCs w:val="22"/>
        </w:rPr>
        <w:t xml:space="preserve">Ne s'applique qu'aux NOUVELLES constructions (pas aux réparations/améliorations existantes)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sz w:val="22"/>
          <w:szCs w:val="22"/>
        </w:rPr>
        <w:t xml:space="preserve">Une CONVENTION peut régler le sort des constructions (Cass. 3e civ., 4 avril 2002)</w:t>
      </w:r>
    </w:p>
    <w:p>
      <w:pPr>
        <w:spacing w:before="150"/>
      </w:pPr>
    </w:p>
    <w:p>
      <w:r>
        <w:rPr>
          <w:b/>
          <w:bCs/>
          <w:sz w:val="22"/>
          <w:szCs w:val="22"/>
        </w:rPr>
        <w:t xml:space="preserve">🏠 Application entre LOCATAIRE et BAILLEUR :</w:t>
      </w:r>
    </w:p>
    <w:p>
      <w:pPr>
        <w:pStyle w:val="ListParagraph"/>
        <w:numPr>
          <w:ilvl w:val="0"/>
          <w:numId w:val="4"/>
        </w:numPr>
        <w:spacing w:before="60" w:after="60"/>
      </w:pPr>
      <w:r>
        <w:rPr>
          <w:sz w:val="22"/>
          <w:szCs w:val="22"/>
        </w:rPr>
        <w:t xml:space="preserve">Autorisation du bailleur : n'écarte PAS l'article 555 sauf convention contraire</w:t>
      </w:r>
    </w:p>
    <w:p>
      <w:pPr>
        <w:pStyle w:val="ListParagraph"/>
        <w:numPr>
          <w:ilvl w:val="0"/>
          <w:numId w:val="4"/>
        </w:numPr>
        <w:spacing w:before="60" w:after="60"/>
      </w:pPr>
      <w:r>
        <w:rPr>
          <w:sz w:val="22"/>
          <w:szCs w:val="22"/>
        </w:rPr>
        <w:t xml:space="preserve">Droit d'accession joue AU TERME DU BAIL au profit du bailleur</w:t>
      </w:r>
    </w:p>
    <w:p>
      <w:pPr>
        <w:pStyle w:val="ListParagraph"/>
        <w:numPr>
          <w:ilvl w:val="0"/>
          <w:numId w:val="4"/>
        </w:numPr>
        <w:spacing w:before="60" w:after="60"/>
      </w:pPr>
      <w:r>
        <w:rPr>
          <w:sz w:val="22"/>
          <w:szCs w:val="22"/>
        </w:rPr>
        <w:t xml:space="preserve">Jurisprudence divisée sur le moment exact du transfert de propriété</w:t>
      </w:r>
    </w:p>
    <w:p>
      <w:pPr>
        <w:pStyle w:val="ListParagraph"/>
        <w:numPr>
          <w:ilvl w:val="0"/>
          <w:numId w:val="4"/>
        </w:numPr>
        <w:spacing w:before="60" w:after="60"/>
      </w:pPr>
      <w:r>
        <w:rPr>
          <w:sz w:val="22"/>
          <w:szCs w:val="22"/>
        </w:rPr>
        <w:t xml:space="preserve">Sans autorisation : locataire = constructeur de mauvaise foi</w:t>
      </w:r>
    </w:p>
    <w:p>
      <w:pPr>
        <w:spacing w:before="120"/>
      </w:pP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8DC" w:val="clear"/>
            <w:tcMar>
              <w:top w:type="dxa" w:w="120"/>
              <w:left w:type="dxa" w:w="180"/>
              <w:bottom w:type="dxa" w:w="120"/>
              <w:right w:type="dxa" w:w="180"/>
            </w:tcMar>
          </w:tcPr>
          <w:p>
            <w:pPr>
              <w:spacing w:after="100"/>
            </w:pPr>
            <w:r>
              <w:rPr>
                <w:b/>
                <w:bCs/>
                <w:sz w:val="24"/>
                <w:szCs w:val="24"/>
              </w:rPr>
              <w:t xml:space="preserve">⚖️ Entre CONCUBINS (Cass. 3e civ., 16 mars 2017)</w:t>
            </w:r>
          </w:p>
          <w:p>
            <w:r>
              <w:rPr>
                <w:sz w:val="22"/>
                <w:szCs w:val="22"/>
              </w:rPr>
              <w:t xml:space="preserve">En l'absence de convention, l'art. 555 régit les rapports entre concubins. L'indemnisation de celui qui a concouru à la construction n'est PAS subordonnée au caractère exclusif de sa participation.</w:t>
            </w:r>
          </w:p>
        </w:tc>
      </w:tr>
    </w:tbl>
    <w:p>
      <w:r>
        <w:br w:type="page"/>
      </w:r>
    </w:p>
    <w:p>
      <w:pPr>
        <w:pStyle w:val="Heading2"/>
        <w:spacing w:before="200" w:after="120"/>
      </w:pPr>
      <w:r>
        <w:rPr>
          <w:b/>
          <w:bCs/>
          <w:color w:val="2E5C8A"/>
          <w:sz w:val="28"/>
          <w:szCs w:val="28"/>
        </w:rPr>
        <w:t xml:space="preserve">III. LIMITES : RAPPORTS DE VOISINAGE</w:t>
      </w:r>
    </w:p>
    <w:p>
      <w:pPr>
        <w:spacing w:before="150" w:after="100"/>
      </w:pPr>
      <w:r>
        <w:rPr>
          <w:b/>
          <w:bCs/>
          <w:color w:val="4472C4"/>
          <w:sz w:val="24"/>
          <w:szCs w:val="24"/>
        </w:rPr>
        <w:t xml:space="preserve">A. Servitudes légales de voisinage (art. 649-685-1)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4F8" w:val="clear"/>
            <w:tcMar>
              <w:top w:type="dxa" w:w="120"/>
              <w:left w:type="dxa" w:w="180"/>
              <w:bottom w:type="dxa" w:w="120"/>
              <w:right w:type="dxa" w:w="180"/>
            </w:tcMar>
          </w:tcPr>
          <w:p>
            <w:pPr>
              <w:spacing w:after="100"/>
            </w:pPr>
            <w:r>
              <w:rPr>
                <w:b/>
                <w:bCs/>
                <w:sz w:val="24"/>
                <w:szCs w:val="24"/>
              </w:rPr>
              <w:t xml:space="preserve">📖 DÉFINITION</w:t>
            </w:r>
          </w:p>
          <w:p>
            <w:r>
              <w:rPr>
                <w:sz w:val="22"/>
                <w:szCs w:val="22"/>
              </w:rPr>
              <w:t xml:space="preserve">Charge imposée à un fonds au bénéfice d'un autre fonds. Strictement définies par le Code civil.</w:t>
            </w:r>
          </w:p>
        </w:tc>
      </w:tr>
    </w:tbl>
    <w:p>
      <w:pPr>
        <w:spacing w:before="120"/>
      </w:pPr>
    </w:p>
    <w:p>
      <w:r>
        <w:rPr>
          <w:b/>
          <w:bCs/>
          <w:sz w:val="22"/>
          <w:szCs w:val="22"/>
        </w:rPr>
        <w:t xml:space="preserve">📋 Principales servitudes :</w:t>
      </w:r>
    </w:p>
    <w:p>
      <w:pPr>
        <w:pStyle w:val="ListParagraph"/>
        <w:numPr>
          <w:ilvl w:val="0"/>
          <w:numId w:val="4"/>
        </w:numPr>
        <w:spacing w:before="60" w:after="60"/>
      </w:pPr>
      <w:r>
        <w:rPr>
          <w:sz w:val="22"/>
          <w:szCs w:val="22"/>
        </w:rPr>
        <w:t xml:space="preserve">PASSAGE pour cause d'enclave (art. 682 et s.) : fonds sans accès à la voie publique peut réclamer un passage moyennant indemnité</w:t>
      </w:r>
    </w:p>
    <w:p>
      <w:pPr>
        <w:pStyle w:val="ListParagraph"/>
        <w:numPr>
          <w:ilvl w:val="0"/>
          <w:numId w:val="4"/>
        </w:numPr>
        <w:spacing w:before="60" w:after="60"/>
      </w:pPr>
      <w:r>
        <w:rPr>
          <w:sz w:val="22"/>
          <w:szCs w:val="22"/>
        </w:rPr>
        <w:t xml:space="preserve">DISTANCE DES PLANTATIONS (art. 671) : arbres &gt;2m → 2m du mur ; autres → 50cm</w:t>
      </w:r>
    </w:p>
    <w:p>
      <w:pPr>
        <w:pStyle w:val="ListParagraph"/>
        <w:numPr>
          <w:ilvl w:val="0"/>
          <w:numId w:val="4"/>
        </w:numPr>
        <w:spacing w:before="60" w:after="60"/>
      </w:pPr>
      <w:r>
        <w:rPr>
          <w:sz w:val="22"/>
          <w:szCs w:val="22"/>
        </w:rPr>
        <w:t xml:space="preserve">ÉGOUT DES TOITS (art. 681) : eaux pluviales sur son terrain ou voie publique, pas sur fonds voisin</w:t>
      </w:r>
    </w:p>
    <w:p>
      <w:pPr>
        <w:pStyle w:val="ListParagraph"/>
        <w:numPr>
          <w:ilvl w:val="0"/>
          <w:numId w:val="4"/>
        </w:numPr>
        <w:spacing w:before="60" w:after="60"/>
      </w:pPr>
      <w:r>
        <w:rPr>
          <w:sz w:val="22"/>
          <w:szCs w:val="22"/>
        </w:rPr>
        <w:t xml:space="preserve">ÉCOULEMENT DES EAUX (art. 640 et s.) : fonds inférieur ne peut empêcher l'écoulement naturel</w:t>
      </w:r>
    </w:p>
    <w:p>
      <w:pPr>
        <w:pStyle w:val="ListParagraph"/>
        <w:numPr>
          <w:ilvl w:val="0"/>
          <w:numId w:val="4"/>
        </w:numPr>
        <w:spacing w:before="60" w:after="60"/>
      </w:pPr>
      <w:r>
        <w:rPr>
          <w:sz w:val="22"/>
          <w:szCs w:val="22"/>
        </w:rPr>
        <w:t xml:space="preserve">VUES sur propriété voisine (art. 675 et s.) : pas d'ouverture dans mur mitoyen sans consentement</w:t>
      </w:r>
    </w:p>
    <w:p>
      <w:pPr>
        <w:spacing w:before="150"/>
      </w:pPr>
    </w:p>
    <w:p>
      <w:pPr>
        <w:spacing w:before="150" w:after="100"/>
      </w:pPr>
      <w:r>
        <w:rPr>
          <w:b/>
          <w:bCs/>
          <w:color w:val="4472C4"/>
          <w:sz w:val="24"/>
          <w:szCs w:val="24"/>
        </w:rPr>
        <w:t xml:space="preserve">B. Délimitation des fonds</w:t>
      </w:r>
    </w:p>
    <w:p>
      <w:r>
        <w:rPr>
          <w:b/>
          <w:bCs/>
          <w:sz w:val="22"/>
          <w:szCs w:val="22"/>
        </w:rPr>
        <w:t xml:space="preserve">🔷 1. LE BORNAGE (art. 646)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4F8" w:val="clear"/>
            <w:tcMar>
              <w:top w:type="dxa" w:w="120"/>
              <w:left w:type="dxa" w:w="180"/>
              <w:bottom w:type="dxa" w:w="120"/>
              <w:right w:type="dxa" w:w="180"/>
            </w:tcMar>
          </w:tcPr>
          <w:p>
            <w:pPr>
              <w:spacing w:after="100"/>
            </w:pPr>
            <w:r>
              <w:rPr>
                <w:b/>
                <w:bCs/>
                <w:sz w:val="24"/>
                <w:szCs w:val="24"/>
              </w:rPr>
              <w:t xml:space="preserve">📜 AVANT-PROJET - Proposition art. 651</w:t>
            </w:r>
          </w:p>
          <w:p>
            <w:r>
              <w:rPr>
                <w:sz w:val="22"/>
                <w:szCs w:val="22"/>
              </w:rPr>
              <w:t xml:space="preserve">"Le bornage est l'opération qui a pour effet de reconnaître et fixer, de façon contradictoire et définitive, les limites séparatives des propriétés appartenant à des propriétaires différents."</w:t>
            </w:r>
          </w:p>
        </w:tc>
      </w:tr>
    </w:tbl>
    <w:p>
      <w:pPr>
        <w:spacing w:before="100"/>
      </w:pP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Tout propriétaire peut obliger son voisin au bornage</w:t>
      </w: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À frais communs</w:t>
      </w: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Nécessite des fonds CONTIGUS (en contact) - Cass. 3e civ., 16 janv. 2002</w:t>
      </w: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Irrecevable entre copropriétaires (jurisprudence constante)</w:t>
      </w: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Peut être amiable (convention) ou judiciaire</w:t>
      </w: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Caractère DÉCLARATIF : ne transfère pas la propriété, fixe seulement la séparation</w:t>
      </w: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Caractère DÉFINITIF</w:t>
      </w: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Ne fait pas obstacle à l'action en revendication</w:t>
      </w:r>
    </w:p>
    <w:p>
      <w:pPr>
        <w:spacing w:before="150"/>
      </w:pPr>
    </w:p>
    <w:p>
      <w:r>
        <w:rPr>
          <w:b/>
          <w:bCs/>
          <w:sz w:val="22"/>
          <w:szCs w:val="22"/>
        </w:rPr>
        <w:t xml:space="preserve">🔷 2. LA CLÔTURE (art. 647, 663)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4F8" w:val="clear"/>
            <w:tcMar>
              <w:top w:type="dxa" w:w="120"/>
              <w:left w:type="dxa" w:w="180"/>
              <w:bottom w:type="dxa" w:w="120"/>
              <w:right w:type="dxa" w:w="180"/>
            </w:tcMar>
          </w:tcPr>
          <w:p>
            <w:pPr>
              <w:spacing w:after="100"/>
            </w:pPr>
            <w:r>
              <w:rPr>
                <w:b/>
                <w:bCs/>
                <w:sz w:val="24"/>
                <w:szCs w:val="24"/>
              </w:rPr>
              <w:t xml:space="preserve">📖 PRINCIPE</w:t>
            </w:r>
          </w:p>
          <w:p>
            <w:r>
              <w:rPr>
                <w:sz w:val="22"/>
                <w:szCs w:val="22"/>
              </w:rPr>
              <w:t xml:space="preserve">"Tout propriétaire peut clore son héritage" - Facultatif en principe, mais obligatoire en milieu urbain</w:t>
            </w:r>
          </w:p>
        </w:tc>
      </w:tr>
    </w:tbl>
    <w:p>
      <w:pPr>
        <w:spacing w:before="100"/>
      </w:pP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DROIT de clôture (art. 647) : sauf servitude légale contraire</w:t>
      </w: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Ne doit pas nuire à autrui ni constituer un trouble de voisinage</w:t>
      </w: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OBLIGATION de clôture en ville (art. 663) : "Chacun peut contraindre son voisin, dans les villes et faubourgs"</w:t>
      </w: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Frais : propriétaire actuel, SAUF si clôture mitoyenne (frais communs)</w:t>
      </w: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Hauteur déterminée par règlements, usages locaux ou convention</w:t>
      </w:r>
    </w:p>
    <w:p>
      <w:pPr>
        <w:spacing w:before="120"/>
      </w:pP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4F8" w:val="clear"/>
            <w:tcMar>
              <w:top w:type="dxa" w:w="120"/>
              <w:left w:type="dxa" w:w="180"/>
              <w:bottom w:type="dxa" w:w="120"/>
              <w:right w:type="dxa" w:w="180"/>
            </w:tcMar>
          </w:tcPr>
          <w:p>
            <w:pPr>
              <w:spacing w:after="100"/>
            </w:pPr>
            <w:r>
              <w:rPr>
                <w:b/>
                <w:bCs/>
                <w:sz w:val="24"/>
                <w:szCs w:val="24"/>
              </w:rPr>
              <w:t xml:space="preserve">📜 AVANT-PROJET - Proposition art. 633</w:t>
            </w:r>
          </w:p>
          <w:p>
            <w:r>
              <w:rPr>
                <w:sz w:val="22"/>
                <w:szCs w:val="22"/>
              </w:rPr>
              <w:t xml:space="preserve">Actualise la rédaction : "parties urbanisées de la commune" au lieu de "villes et faubourgs"</w:t>
            </w:r>
          </w:p>
        </w:tc>
      </w:tr>
    </w:tbl>
    <w:p>
      <w:pPr>
        <w:spacing w:before="150"/>
      </w:pPr>
    </w:p>
    <w:p>
      <w:pPr>
        <w:spacing w:before="150" w:after="100"/>
      </w:pPr>
      <w:r>
        <w:rPr>
          <w:b/>
          <w:bCs/>
          <w:color w:val="4472C4"/>
          <w:sz w:val="24"/>
          <w:szCs w:val="24"/>
        </w:rPr>
        <w:t xml:space="preserve">C. Troubles anormaux de voisinage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4F8" w:val="clear"/>
            <w:tcMar>
              <w:top w:type="dxa" w:w="120"/>
              <w:left w:type="dxa" w:w="180"/>
              <w:bottom w:type="dxa" w:w="120"/>
              <w:right w:type="dxa" w:w="180"/>
            </w:tcMar>
          </w:tcPr>
          <w:p>
            <w:pPr>
              <w:spacing w:after="100"/>
            </w:pPr>
            <w:r>
              <w:rPr>
                <w:b/>
                <w:bCs/>
                <w:sz w:val="24"/>
                <w:szCs w:val="24"/>
              </w:rPr>
              <w:t xml:space="preserve">⚖️ RESPONSABILITÉ SANS FAUTE</w:t>
            </w:r>
          </w:p>
          <w:p>
            <w:r>
              <w:rPr>
                <w:sz w:val="22"/>
                <w:szCs w:val="22"/>
              </w:rPr>
              <w:t xml:space="preserve">Théorie jurisprudentielle : le propriétaire répond des troubles anormaux causés à son voisin, même sans faute. Fondement : obligation de ne pas nuire à autrui.</w:t>
            </w:r>
          </w:p>
        </w:tc>
      </w:tr>
    </w:tbl>
    <w:p>
      <w:pPr>
        <w:spacing w:before="100"/>
      </w:pP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Bruit excessif dépassant les inconvénients normaux du voisinage</w:t>
      </w: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Odeurs, fumées, vibrations</w:t>
      </w: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Appréciation in concreto : lieu, nature, durée</w:t>
      </w: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Réparation : cessation du trouble + dommages-intérêts</w:t>
      </w:r>
    </w:p>
    <w:p>
      <w:r>
        <w:br w:type="page"/>
      </w:r>
    </w:p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