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2A9A2" w14:textId="77777777" w:rsidR="008E4B7A" w:rsidRDefault="009F65B6">
      <w:pPr>
        <w:pStyle w:val="Titre1"/>
        <w:jc w:val="center"/>
      </w:pPr>
      <w:r>
        <w:t>FICHE 4 - MEUBLES ET IMMEUBLES</w:t>
      </w:r>
    </w:p>
    <w:p w14:paraId="2602A9A3" w14:textId="77777777" w:rsidR="008E4B7A" w:rsidRDefault="009F65B6">
      <w:pPr>
        <w:pStyle w:val="Titre2"/>
      </w:pPr>
      <w:r>
        <w:t xml:space="preserve">I. LES IMMEUBLES (art. 517 </w:t>
      </w:r>
      <w:proofErr w:type="spellStart"/>
      <w:r>
        <w:t>C.civ</w:t>
      </w:r>
      <w:proofErr w:type="spellEnd"/>
      <w:r>
        <w:t>.)</w:t>
      </w:r>
    </w:p>
    <w:p w14:paraId="2602A9A4" w14:textId="77777777" w:rsidR="008E4B7A" w:rsidRDefault="009F65B6">
      <w:pPr>
        <w:spacing w:before="150" w:after="100"/>
      </w:pPr>
      <w:r>
        <w:rPr>
          <w:b/>
          <w:bCs/>
        </w:rPr>
        <w:t>A. Immeubles par nature (art. 518-523)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A7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A5" w14:textId="77777777" w:rsidR="008E4B7A" w:rsidRDefault="009F65B6">
            <w:pPr>
              <w:spacing w:after="100"/>
            </w:pPr>
            <w:proofErr w:type="gramStart"/>
            <w:r>
              <w:rPr>
                <w:b/>
                <w:bCs/>
              </w:rPr>
              <w:t>🏠</w:t>
            </w:r>
            <w:proofErr w:type="gramEnd"/>
            <w:r>
              <w:rPr>
                <w:b/>
                <w:bCs/>
              </w:rPr>
              <w:t xml:space="preserve"> CRITÈRE PRINCIPAL : LA FIXITÉ</w:t>
            </w:r>
          </w:p>
          <w:p w14:paraId="2602A9A6" w14:textId="77777777" w:rsidR="008E4B7A" w:rsidRDefault="009F65B6">
            <w:r>
              <w:rPr>
                <w:sz w:val="22"/>
                <w:szCs w:val="22"/>
              </w:rPr>
              <w:t>Fonds de terre et tout ce qui s'y incorpore : bâtiments, moulins fixés, récoltes pendantes par les racines, fruits non recueillis</w:t>
            </w:r>
          </w:p>
        </w:tc>
      </w:tr>
    </w:tbl>
    <w:p w14:paraId="2602A9A8" w14:textId="77777777" w:rsidR="008E4B7A" w:rsidRDefault="008E4B7A">
      <w:pPr>
        <w:spacing w:before="120"/>
      </w:pPr>
    </w:p>
    <w:p w14:paraId="2602A9A9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Article 523 : immeubles par incorporation (tuyaux, canalisations, ascenseurs)</w:t>
      </w:r>
    </w:p>
    <w:p w14:paraId="2602A9AA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Dès que l'incorporation prend fin → devient meuble</w:t>
      </w:r>
    </w:p>
    <w:p w14:paraId="2602A9AB" w14:textId="77777777" w:rsidR="008E4B7A" w:rsidRDefault="009F65B6">
      <w:pPr>
        <w:spacing w:before="150" w:after="100"/>
      </w:pPr>
      <w:r>
        <w:rPr>
          <w:b/>
          <w:bCs/>
        </w:rPr>
        <w:t>B. Immeubles par destination (art. 524-525)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AE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AC" w14:textId="77777777" w:rsidR="008E4B7A" w:rsidRDefault="009F65B6">
            <w:pPr>
              <w:spacing w:after="100"/>
            </w:pPr>
            <w:proofErr w:type="gramStart"/>
            <w:r>
              <w:rPr>
                <w:b/>
                <w:bCs/>
              </w:rPr>
              <w:t>📌</w:t>
            </w:r>
            <w:proofErr w:type="gramEnd"/>
            <w:r>
              <w:rPr>
                <w:b/>
                <w:bCs/>
              </w:rPr>
              <w:t xml:space="preserve"> FICTION JURIDIQUE</w:t>
            </w:r>
          </w:p>
          <w:p w14:paraId="2602A9AD" w14:textId="77777777" w:rsidR="008E4B7A" w:rsidRDefault="009F65B6">
            <w:r>
              <w:rPr>
                <w:sz w:val="22"/>
                <w:szCs w:val="22"/>
              </w:rPr>
              <w:t>Des meubles que la loi répute immeubles car attachés au fonds par le propriétaire pour son service, son exploitation ou son ornement. "L'accessoire suit le principal".</w:t>
            </w:r>
          </w:p>
        </w:tc>
      </w:tr>
    </w:tbl>
    <w:p w14:paraId="2602A9AF" w14:textId="77777777" w:rsidR="008E4B7A" w:rsidRDefault="008E4B7A">
      <w:pPr>
        <w:spacing w:before="120"/>
      </w:pPr>
    </w:p>
    <w:p w14:paraId="2602A9B0" w14:textId="77777777" w:rsidR="008E4B7A" w:rsidRDefault="009F65B6">
      <w:r>
        <w:rPr>
          <w:b/>
          <w:bCs/>
          <w:sz w:val="22"/>
          <w:szCs w:val="22"/>
        </w:rPr>
        <w:t>⚠️ CONDITIONS CUMULATIVES :</w:t>
      </w:r>
    </w:p>
    <w:p w14:paraId="2602A9B1" w14:textId="77777777" w:rsidR="008E4B7A" w:rsidRDefault="009F65B6">
      <w:pPr>
        <w:pStyle w:val="Paragraphedeliste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>1. Meuble par nature</w:t>
      </w:r>
    </w:p>
    <w:p w14:paraId="2602A9B2" w14:textId="77777777" w:rsidR="008E4B7A" w:rsidRDefault="009F65B6">
      <w:pPr>
        <w:pStyle w:val="Paragraphedeliste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>2. Bien principal = immeuble par nature</w:t>
      </w:r>
    </w:p>
    <w:p w14:paraId="2602A9B3" w14:textId="77777777" w:rsidR="008E4B7A" w:rsidRDefault="009F65B6">
      <w:pPr>
        <w:pStyle w:val="Paragraphedeliste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>3. UNITÉ DU MAÎTRE : même propriétaire</w:t>
      </w:r>
    </w:p>
    <w:p w14:paraId="2602A9B4" w14:textId="77777777" w:rsidR="008E4B7A" w:rsidRDefault="009F65B6">
      <w:pPr>
        <w:pStyle w:val="Paragraphedeliste"/>
        <w:numPr>
          <w:ilvl w:val="0"/>
          <w:numId w:val="3"/>
        </w:numPr>
        <w:spacing w:before="60" w:after="60"/>
      </w:pPr>
      <w:r>
        <w:rPr>
          <w:sz w:val="22"/>
          <w:szCs w:val="22"/>
        </w:rPr>
        <w:t>4. RAPPORT DE DESTINATION : affectation au service du fonds OU attache à perpétuelle demeure</w:t>
      </w:r>
    </w:p>
    <w:p w14:paraId="2602A9B5" w14:textId="77777777" w:rsidR="008E4B7A" w:rsidRDefault="008E4B7A">
      <w:pPr>
        <w:spacing w:before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B8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B6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⚖️ ARRÊT DE RÉFÉRENCE</w:t>
            </w:r>
          </w:p>
          <w:p w14:paraId="2602A9B7" w14:textId="77777777" w:rsidR="008E4B7A" w:rsidRDefault="009F65B6">
            <w:proofErr w:type="spellStart"/>
            <w:r>
              <w:rPr>
                <w:sz w:val="22"/>
                <w:szCs w:val="22"/>
              </w:rPr>
              <w:t>Ass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proofErr w:type="spellStart"/>
            <w:proofErr w:type="gramStart"/>
            <w:r>
              <w:rPr>
                <w:sz w:val="22"/>
                <w:szCs w:val="22"/>
              </w:rPr>
              <w:t>plén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., 15 avril 1988, "Fresques de </w:t>
            </w:r>
            <w:proofErr w:type="spellStart"/>
            <w:r>
              <w:rPr>
                <w:sz w:val="22"/>
                <w:szCs w:val="22"/>
              </w:rPr>
              <w:t>Casenoves</w:t>
            </w:r>
            <w:proofErr w:type="spellEnd"/>
            <w:r>
              <w:rPr>
                <w:sz w:val="22"/>
                <w:szCs w:val="22"/>
              </w:rPr>
              <w:t>" : des fresques détachées sans dommage redeviennent des meubles (ne sont pas des immeubles par destination)</w:t>
            </w:r>
          </w:p>
        </w:tc>
      </w:tr>
    </w:tbl>
    <w:p w14:paraId="2602A9B9" w14:textId="77777777" w:rsidR="008E4B7A" w:rsidRDefault="009F65B6">
      <w:pPr>
        <w:spacing w:before="150" w:after="100"/>
      </w:pPr>
      <w:r>
        <w:rPr>
          <w:b/>
          <w:bCs/>
        </w:rPr>
        <w:t>C. Immeubles par l'objet (art. 526)</w:t>
      </w:r>
    </w:p>
    <w:p w14:paraId="2602A9BA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Usufruit des choses immobilières</w:t>
      </w:r>
    </w:p>
    <w:p w14:paraId="2602A9BB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lastRenderedPageBreak/>
        <w:t>Servitudes ou services fonciers</w:t>
      </w:r>
    </w:p>
    <w:p w14:paraId="2602A9BC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Actions tendant à revendiquer un immeuble</w:t>
      </w:r>
    </w:p>
    <w:p w14:paraId="2602A9BD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→ Droits réels immobiliers (incorporels)</w:t>
      </w:r>
    </w:p>
    <w:p w14:paraId="2602A9BE" w14:textId="77777777" w:rsidR="008E4B7A" w:rsidRDefault="009F65B6">
      <w:r>
        <w:br w:type="page"/>
      </w:r>
    </w:p>
    <w:p w14:paraId="2602A9BF" w14:textId="77777777" w:rsidR="008E4B7A" w:rsidRDefault="009F65B6">
      <w:pPr>
        <w:pStyle w:val="Titre2"/>
      </w:pPr>
      <w:r>
        <w:lastRenderedPageBreak/>
        <w:t xml:space="preserve">II. LES MEUBLES (art. 527 </w:t>
      </w:r>
      <w:proofErr w:type="spellStart"/>
      <w:r>
        <w:t>C.civ</w:t>
      </w:r>
      <w:proofErr w:type="spellEnd"/>
      <w:r>
        <w:t>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C2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C0" w14:textId="77777777" w:rsidR="008E4B7A" w:rsidRDefault="009F65B6">
            <w:pPr>
              <w:spacing w:after="100"/>
            </w:pPr>
            <w:proofErr w:type="gramStart"/>
            <w:r>
              <w:rPr>
                <w:b/>
                <w:bCs/>
              </w:rPr>
              <w:t>🔄</w:t>
            </w:r>
            <w:proofErr w:type="gramEnd"/>
            <w:r>
              <w:rPr>
                <w:b/>
                <w:bCs/>
              </w:rPr>
              <w:t xml:space="preserve"> PRINCIPE RÉSIDUEL</w:t>
            </w:r>
          </w:p>
          <w:p w14:paraId="2602A9C1" w14:textId="77777777" w:rsidR="008E4B7A" w:rsidRDefault="009F65B6">
            <w:r>
              <w:rPr>
                <w:sz w:val="22"/>
                <w:szCs w:val="22"/>
              </w:rPr>
              <w:t>Ce qui n'est pas immeuble est meuble. Critère : la MOBILITÉ</w:t>
            </w:r>
          </w:p>
        </w:tc>
      </w:tr>
    </w:tbl>
    <w:p w14:paraId="2602A9C3" w14:textId="77777777" w:rsidR="008E4B7A" w:rsidRDefault="009F65B6">
      <w:pPr>
        <w:spacing w:before="150" w:after="100"/>
      </w:pPr>
      <w:r>
        <w:rPr>
          <w:b/>
          <w:bCs/>
        </w:rPr>
        <w:t>A. Meubles par nature (art. 528)</w:t>
      </w:r>
    </w:p>
    <w:p w14:paraId="2602A9C4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Critère : biens pouvant se transporter d'un lieu à un autre</w:t>
      </w:r>
    </w:p>
    <w:p w14:paraId="2602A9C5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Animaux (sauf s'ils sont immeubles par destination - art. 524)</w:t>
      </w:r>
    </w:p>
    <w:p w14:paraId="2602A9C6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Choses inanimées transportables</w:t>
      </w:r>
    </w:p>
    <w:p w14:paraId="2602A9C7" w14:textId="77777777" w:rsidR="008E4B7A" w:rsidRDefault="008E4B7A">
      <w:pPr>
        <w:spacing w:before="120"/>
      </w:pPr>
    </w:p>
    <w:p w14:paraId="2602A9C8" w14:textId="77777777" w:rsidR="008E4B7A" w:rsidRDefault="009F65B6">
      <w:proofErr w:type="gramStart"/>
      <w:r>
        <w:rPr>
          <w:b/>
          <w:bCs/>
          <w:sz w:val="22"/>
          <w:szCs w:val="22"/>
        </w:rPr>
        <w:t>📋</w:t>
      </w:r>
      <w:proofErr w:type="gramEnd"/>
      <w:r>
        <w:rPr>
          <w:b/>
          <w:bCs/>
          <w:sz w:val="22"/>
          <w:szCs w:val="22"/>
        </w:rPr>
        <w:t xml:space="preserve"> Catégories spécifiques :</w:t>
      </w:r>
    </w:p>
    <w:p w14:paraId="2602A9C9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Art. 534 : meubles meublants (tapisseries, lits, tableaux...)</w:t>
      </w:r>
    </w:p>
    <w:p w14:paraId="2602A9CA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Art. 531 : fluides, gaz, électricité, engins flottants et volants</w:t>
      </w:r>
    </w:p>
    <w:p w14:paraId="2602A9CB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Art. 532 : matériaux de démolition ou de construction</w:t>
      </w:r>
    </w:p>
    <w:p w14:paraId="2602A9CC" w14:textId="77777777" w:rsidR="008E4B7A" w:rsidRDefault="009F65B6">
      <w:pPr>
        <w:pStyle w:val="Paragraphedeliste"/>
        <w:numPr>
          <w:ilvl w:val="0"/>
          <w:numId w:val="4"/>
        </w:numPr>
        <w:spacing w:before="60" w:after="60"/>
      </w:pPr>
      <w:r>
        <w:rPr>
          <w:sz w:val="22"/>
          <w:szCs w:val="22"/>
        </w:rPr>
        <w:t>Art. 533 : exclusion par défaut (argent, pierreries, livres...)</w:t>
      </w:r>
    </w:p>
    <w:p w14:paraId="2602A9CD" w14:textId="77777777" w:rsidR="008E4B7A" w:rsidRDefault="009F65B6">
      <w:pPr>
        <w:spacing w:before="150" w:after="100"/>
      </w:pPr>
      <w:r>
        <w:rPr>
          <w:b/>
          <w:bCs/>
        </w:rPr>
        <w:t>B. Meubles par l'objet (art. 529-530)</w:t>
      </w:r>
    </w:p>
    <w:p w14:paraId="2602A9CE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Biens incorporels "ameublis" par la loi</w:t>
      </w:r>
    </w:p>
    <w:p w14:paraId="2602A9CF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Créances et obligations</w:t>
      </w:r>
    </w:p>
    <w:p w14:paraId="2602A9D0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Actions dans les sociétés</w:t>
      </w:r>
    </w:p>
    <w:p w14:paraId="2602A9D1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Rentes perpétuelles ou viagères</w:t>
      </w:r>
    </w:p>
    <w:p w14:paraId="2602A9D2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Droits intellectuels, clientèle</w:t>
      </w:r>
    </w:p>
    <w:p w14:paraId="2602A9D3" w14:textId="77777777" w:rsidR="008E4B7A" w:rsidRDefault="009F65B6">
      <w:pPr>
        <w:spacing w:before="150" w:after="100"/>
      </w:pPr>
      <w:r>
        <w:rPr>
          <w:b/>
          <w:bCs/>
        </w:rPr>
        <w:t>C. Meubles par anticipation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9D6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9D4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⏳ CATÉGORIE JURISPRUDENTIELLE</w:t>
            </w:r>
          </w:p>
          <w:p w14:paraId="2602A9D5" w14:textId="77777777" w:rsidR="008E4B7A" w:rsidRDefault="009F65B6">
            <w:r>
              <w:rPr>
                <w:sz w:val="22"/>
                <w:szCs w:val="22"/>
              </w:rPr>
              <w:t>Immeubles encore attachés à la terre mais destinés à en être prochainement détachés. On anticipe leur nature future. Ex : récoltes sur pied, produits de carrière, matériaux de démolition programmée</w:t>
            </w:r>
          </w:p>
        </w:tc>
      </w:tr>
    </w:tbl>
    <w:p w14:paraId="2602A9D7" w14:textId="77777777" w:rsidR="008E4B7A" w:rsidRDefault="009F65B6">
      <w:r>
        <w:br w:type="page"/>
      </w:r>
    </w:p>
    <w:p w14:paraId="2602AA19" w14:textId="72BC22B7" w:rsidR="008E4B7A" w:rsidRDefault="009F65B6">
      <w:pPr>
        <w:pStyle w:val="Titre1"/>
        <w:jc w:val="center"/>
      </w:pPr>
      <w:r>
        <w:lastRenderedPageBreak/>
        <w:t xml:space="preserve">FICHE </w:t>
      </w:r>
      <w:r w:rsidR="00BB607D">
        <w:t>5</w:t>
      </w:r>
      <w:r>
        <w:t xml:space="preserve"> - DISTINCTIONS SECONDAIRES</w:t>
      </w:r>
    </w:p>
    <w:p w14:paraId="2602AA1A" w14:textId="77777777" w:rsidR="008E4B7A" w:rsidRDefault="009F65B6">
      <w:pPr>
        <w:pStyle w:val="Titre2"/>
      </w:pPr>
      <w:r>
        <w:t>I. Choses dans le commerce / hors commerce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58"/>
      </w:tblGrid>
      <w:tr w:rsidR="008E4B7A" w14:paraId="2602AA1D" w14:textId="77777777">
        <w:tc>
          <w:tcPr>
            <w:tcW w:w="9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8F4F8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602AA1B" w14:textId="77777777" w:rsidR="008E4B7A" w:rsidRDefault="009F65B6">
            <w:pPr>
              <w:spacing w:after="100"/>
            </w:pPr>
            <w:r>
              <w:rPr>
                <w:b/>
                <w:bCs/>
              </w:rPr>
              <w:t>⚖️ COMMERCE JURIDIQUE</w:t>
            </w:r>
          </w:p>
          <w:p w14:paraId="2602AA1C" w14:textId="77777777" w:rsidR="008E4B7A" w:rsidRDefault="009F65B6">
            <w:r>
              <w:rPr>
                <w:sz w:val="22"/>
                <w:szCs w:val="22"/>
              </w:rPr>
              <w:t>Possibilité de faire l'objet de conventions. Limite entre licite et illicite dans les échanges.</w:t>
            </w:r>
          </w:p>
        </w:tc>
      </w:tr>
    </w:tbl>
    <w:p w14:paraId="2602AA1E" w14:textId="77777777" w:rsidR="008E4B7A" w:rsidRDefault="008E4B7A">
      <w:pPr>
        <w:spacing w:before="150"/>
      </w:pPr>
    </w:p>
    <w:p w14:paraId="2602AA1F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Hors commerce : corps humain, organes, convention de mère porteuse</w:t>
      </w:r>
    </w:p>
    <w:p w14:paraId="2602AA20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Évolution : commercialité croissante (voix, nom, image sous conditions)</w:t>
      </w:r>
    </w:p>
    <w:p w14:paraId="2602AA21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Force de travail : louage d'ouvrage licite, esclavage prohibé</w:t>
      </w:r>
    </w:p>
    <w:p w14:paraId="2602AA22" w14:textId="77777777" w:rsidR="008E4B7A" w:rsidRDefault="008E4B7A">
      <w:pPr>
        <w:spacing w:before="200"/>
      </w:pPr>
    </w:p>
    <w:p w14:paraId="2602AA23" w14:textId="77777777" w:rsidR="008E4B7A" w:rsidRDefault="009F65B6">
      <w:pPr>
        <w:pStyle w:val="Titre2"/>
      </w:pPr>
      <w:r>
        <w:t>II. Choses consomptibles / non consomptibles</w:t>
      </w:r>
    </w:p>
    <w:p w14:paraId="2602AA24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Consomptibles : détruites par le premier usage (aliments, carburant)</w:t>
      </w:r>
    </w:p>
    <w:p w14:paraId="2602AA25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Non consomptibles : usages répétés possibles (voiture, livre)</w:t>
      </w:r>
    </w:p>
    <w:p w14:paraId="2602AA26" w14:textId="77777777" w:rsidR="008E4B7A" w:rsidRDefault="008E4B7A">
      <w:pPr>
        <w:spacing w:before="200"/>
      </w:pPr>
    </w:p>
    <w:p w14:paraId="2602AA27" w14:textId="77777777" w:rsidR="008E4B7A" w:rsidRDefault="009F65B6">
      <w:pPr>
        <w:pStyle w:val="Titre2"/>
      </w:pPr>
      <w:r>
        <w:t>III. Choses fongibles / non fongibles</w:t>
      </w:r>
    </w:p>
    <w:p w14:paraId="2602AA28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Fongibles : interchangeables (monnaie, denrées)</w:t>
      </w:r>
    </w:p>
    <w:p w14:paraId="2602AA29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Non fongibles : individualité propre (œuvre d'art, animal de compagnie)</w:t>
      </w:r>
    </w:p>
    <w:p w14:paraId="2602AA2A" w14:textId="77777777" w:rsidR="008E4B7A" w:rsidRDefault="009F65B6">
      <w:pPr>
        <w:pStyle w:val="Paragraphedeliste"/>
        <w:numPr>
          <w:ilvl w:val="0"/>
          <w:numId w:val="2"/>
        </w:numPr>
        <w:spacing w:before="60" w:after="60"/>
      </w:pPr>
      <w:r>
        <w:rPr>
          <w:sz w:val="22"/>
          <w:szCs w:val="22"/>
        </w:rPr>
        <w:t>Importance : NFT (Non-</w:t>
      </w:r>
      <w:proofErr w:type="spellStart"/>
      <w:r>
        <w:rPr>
          <w:sz w:val="22"/>
          <w:szCs w:val="22"/>
        </w:rPr>
        <w:t>Fungible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Tokens</w:t>
      </w:r>
      <w:proofErr w:type="spellEnd"/>
      <w:r>
        <w:rPr>
          <w:sz w:val="22"/>
          <w:szCs w:val="22"/>
        </w:rPr>
        <w:t>)</w:t>
      </w:r>
    </w:p>
    <w:p w14:paraId="2602AA2B" w14:textId="77777777" w:rsidR="008E4B7A" w:rsidRDefault="008E4B7A">
      <w:pPr>
        <w:spacing w:before="200"/>
      </w:pPr>
    </w:p>
    <w:p w14:paraId="2602AA2C" w14:textId="77777777" w:rsidR="008E4B7A" w:rsidRDefault="009F65B6">
      <w:pPr>
        <w:pStyle w:val="Titre2"/>
      </w:pPr>
      <w:r>
        <w:t>IV. Biens corporels / incorporels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79"/>
        <w:gridCol w:w="4679"/>
      </w:tblGrid>
      <w:tr w:rsidR="008E4B7A" w14:paraId="2602AA2F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02AA2D" w14:textId="77777777" w:rsidR="008E4B7A" w:rsidRDefault="009F65B6">
            <w:pPr>
              <w:jc w:val="center"/>
            </w:pPr>
            <w:r>
              <w:rPr>
                <w:b/>
                <w:bCs/>
                <w:color w:val="FFFFFF"/>
              </w:rPr>
              <w:t>CORPORELS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4472C4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602AA2E" w14:textId="77777777" w:rsidR="008E4B7A" w:rsidRDefault="009F65B6">
            <w:pPr>
              <w:jc w:val="center"/>
            </w:pPr>
            <w:r>
              <w:rPr>
                <w:b/>
                <w:bCs/>
                <w:color w:val="FFFFFF"/>
              </w:rPr>
              <w:t>INCORPORELS</w:t>
            </w:r>
          </w:p>
        </w:tc>
      </w:tr>
      <w:tr w:rsidR="008E4B7A" w14:paraId="2602AA32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0" w14:textId="77777777" w:rsidR="008E4B7A" w:rsidRDefault="009F65B6">
            <w:r>
              <w:rPr>
                <w:sz w:val="20"/>
                <w:szCs w:val="20"/>
              </w:rPr>
              <w:t>Existence matérielle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1" w14:textId="77777777" w:rsidR="008E4B7A" w:rsidRDefault="009F65B6">
            <w:r>
              <w:rPr>
                <w:sz w:val="20"/>
                <w:szCs w:val="20"/>
              </w:rPr>
              <w:t>Existence abstraite</w:t>
            </w:r>
          </w:p>
        </w:tc>
      </w:tr>
      <w:tr w:rsidR="008E4B7A" w14:paraId="2602AA35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3" w14:textId="77777777" w:rsidR="008E4B7A" w:rsidRDefault="009F65B6">
            <w:r>
              <w:rPr>
                <w:sz w:val="20"/>
                <w:szCs w:val="20"/>
              </w:rPr>
              <w:t>Tangibles physiquement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4" w14:textId="77777777" w:rsidR="008E4B7A" w:rsidRDefault="009F65B6">
            <w:r>
              <w:rPr>
                <w:sz w:val="20"/>
                <w:szCs w:val="20"/>
              </w:rPr>
              <w:t>Intangibles</w:t>
            </w:r>
          </w:p>
        </w:tc>
      </w:tr>
      <w:tr w:rsidR="008E4B7A" w14:paraId="2602AA38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6" w14:textId="77777777" w:rsidR="008E4B7A" w:rsidRDefault="009F65B6">
            <w:r>
              <w:rPr>
                <w:sz w:val="20"/>
                <w:szCs w:val="20"/>
              </w:rPr>
              <w:t>Ex : maison, voiture, livre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7" w14:textId="77777777" w:rsidR="008E4B7A" w:rsidRDefault="009F65B6">
            <w:r>
              <w:rPr>
                <w:sz w:val="20"/>
                <w:szCs w:val="20"/>
              </w:rPr>
              <w:t>Ex : créances, droits d'auteur, marques</w:t>
            </w:r>
          </w:p>
        </w:tc>
      </w:tr>
      <w:tr w:rsidR="008E4B7A" w14:paraId="2602AA3B" w14:textId="77777777"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9" w14:textId="77777777" w:rsidR="008E4B7A" w:rsidRDefault="009F65B6">
            <w:r>
              <w:rPr>
                <w:sz w:val="20"/>
                <w:szCs w:val="20"/>
              </w:rPr>
              <w:t>Possession physique possible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02AA3A" w14:textId="77777777" w:rsidR="008E4B7A" w:rsidRDefault="009F65B6">
            <w:r>
              <w:rPr>
                <w:sz w:val="20"/>
                <w:szCs w:val="20"/>
              </w:rPr>
              <w:t>Droits immatériels</w:t>
            </w:r>
          </w:p>
        </w:tc>
      </w:tr>
    </w:tbl>
    <w:p w14:paraId="2602AA3C" w14:textId="0E527E10" w:rsidR="008E4B7A" w:rsidRDefault="008E4B7A" w:rsidP="000749E2"/>
    <w:sectPr w:rsidR="008E4B7A" w:rsidSect="000749E2">
      <w:pgSz w:w="12240" w:h="15840"/>
      <w:pgMar w:top="993" w:right="1440" w:bottom="709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14FDE"/>
    <w:multiLevelType w:val="hybridMultilevel"/>
    <w:tmpl w:val="5C00F362"/>
    <w:lvl w:ilvl="0" w:tplc="87147F9E">
      <w:start w:val="1"/>
      <w:numFmt w:val="bullet"/>
      <w:lvlText w:val="•"/>
      <w:lvlJc w:val="left"/>
      <w:pPr>
        <w:ind w:left="720" w:hanging="360"/>
      </w:pPr>
    </w:lvl>
    <w:lvl w:ilvl="1" w:tplc="5358EB20">
      <w:numFmt w:val="decimal"/>
      <w:lvlText w:val=""/>
      <w:lvlJc w:val="left"/>
    </w:lvl>
    <w:lvl w:ilvl="2" w:tplc="BF3E2EBC">
      <w:numFmt w:val="decimal"/>
      <w:lvlText w:val=""/>
      <w:lvlJc w:val="left"/>
    </w:lvl>
    <w:lvl w:ilvl="3" w:tplc="28443E5A">
      <w:numFmt w:val="decimal"/>
      <w:lvlText w:val=""/>
      <w:lvlJc w:val="left"/>
    </w:lvl>
    <w:lvl w:ilvl="4" w:tplc="5B764096">
      <w:numFmt w:val="decimal"/>
      <w:lvlText w:val=""/>
      <w:lvlJc w:val="left"/>
    </w:lvl>
    <w:lvl w:ilvl="5" w:tplc="18B8C400">
      <w:numFmt w:val="decimal"/>
      <w:lvlText w:val=""/>
      <w:lvlJc w:val="left"/>
    </w:lvl>
    <w:lvl w:ilvl="6" w:tplc="B8262A7C">
      <w:numFmt w:val="decimal"/>
      <w:lvlText w:val=""/>
      <w:lvlJc w:val="left"/>
    </w:lvl>
    <w:lvl w:ilvl="7" w:tplc="51F8F65A">
      <w:numFmt w:val="decimal"/>
      <w:lvlText w:val=""/>
      <w:lvlJc w:val="left"/>
    </w:lvl>
    <w:lvl w:ilvl="8" w:tplc="8558EC96">
      <w:numFmt w:val="decimal"/>
      <w:lvlText w:val=""/>
      <w:lvlJc w:val="left"/>
    </w:lvl>
  </w:abstractNum>
  <w:abstractNum w:abstractNumId="1" w15:restartNumberingAfterBreak="0">
    <w:nsid w:val="49C54AB4"/>
    <w:multiLevelType w:val="hybridMultilevel"/>
    <w:tmpl w:val="28C09A36"/>
    <w:lvl w:ilvl="0" w:tplc="B7363BE2">
      <w:start w:val="1"/>
      <w:numFmt w:val="decimal"/>
      <w:lvlText w:val="%1."/>
      <w:lvlJc w:val="left"/>
      <w:pPr>
        <w:ind w:left="720" w:hanging="360"/>
      </w:pPr>
    </w:lvl>
    <w:lvl w:ilvl="1" w:tplc="A3B60858">
      <w:numFmt w:val="decimal"/>
      <w:lvlText w:val=""/>
      <w:lvlJc w:val="left"/>
    </w:lvl>
    <w:lvl w:ilvl="2" w:tplc="5450FC62">
      <w:numFmt w:val="decimal"/>
      <w:lvlText w:val=""/>
      <w:lvlJc w:val="left"/>
    </w:lvl>
    <w:lvl w:ilvl="3" w:tplc="0A04975E">
      <w:numFmt w:val="decimal"/>
      <w:lvlText w:val=""/>
      <w:lvlJc w:val="left"/>
    </w:lvl>
    <w:lvl w:ilvl="4" w:tplc="9AEAA7D8">
      <w:numFmt w:val="decimal"/>
      <w:lvlText w:val=""/>
      <w:lvlJc w:val="left"/>
    </w:lvl>
    <w:lvl w:ilvl="5" w:tplc="BD1453E2">
      <w:numFmt w:val="decimal"/>
      <w:lvlText w:val=""/>
      <w:lvlJc w:val="left"/>
    </w:lvl>
    <w:lvl w:ilvl="6" w:tplc="5FFCD218">
      <w:numFmt w:val="decimal"/>
      <w:lvlText w:val=""/>
      <w:lvlJc w:val="left"/>
    </w:lvl>
    <w:lvl w:ilvl="7" w:tplc="6BA64518">
      <w:numFmt w:val="decimal"/>
      <w:lvlText w:val=""/>
      <w:lvlJc w:val="left"/>
    </w:lvl>
    <w:lvl w:ilvl="8" w:tplc="2826C306">
      <w:numFmt w:val="decimal"/>
      <w:lvlText w:val=""/>
      <w:lvlJc w:val="left"/>
    </w:lvl>
  </w:abstractNum>
  <w:abstractNum w:abstractNumId="2" w15:restartNumberingAfterBreak="0">
    <w:nsid w:val="4F2743B3"/>
    <w:multiLevelType w:val="hybridMultilevel"/>
    <w:tmpl w:val="CB0C0018"/>
    <w:lvl w:ilvl="0" w:tplc="F23EB838">
      <w:start w:val="1"/>
      <w:numFmt w:val="bullet"/>
      <w:lvlText w:val="●"/>
      <w:lvlJc w:val="left"/>
      <w:pPr>
        <w:ind w:left="720" w:hanging="360"/>
      </w:pPr>
    </w:lvl>
    <w:lvl w:ilvl="1" w:tplc="D870C64E">
      <w:start w:val="1"/>
      <w:numFmt w:val="bullet"/>
      <w:lvlText w:val="○"/>
      <w:lvlJc w:val="left"/>
      <w:pPr>
        <w:ind w:left="1440" w:hanging="360"/>
      </w:pPr>
    </w:lvl>
    <w:lvl w:ilvl="2" w:tplc="1DB8715E">
      <w:start w:val="1"/>
      <w:numFmt w:val="bullet"/>
      <w:lvlText w:val="■"/>
      <w:lvlJc w:val="left"/>
      <w:pPr>
        <w:ind w:left="2160" w:hanging="360"/>
      </w:pPr>
    </w:lvl>
    <w:lvl w:ilvl="3" w:tplc="84F891A8">
      <w:start w:val="1"/>
      <w:numFmt w:val="bullet"/>
      <w:lvlText w:val="●"/>
      <w:lvlJc w:val="left"/>
      <w:pPr>
        <w:ind w:left="2880" w:hanging="360"/>
      </w:pPr>
    </w:lvl>
    <w:lvl w:ilvl="4" w:tplc="4E4E70EA">
      <w:start w:val="1"/>
      <w:numFmt w:val="bullet"/>
      <w:lvlText w:val="○"/>
      <w:lvlJc w:val="left"/>
      <w:pPr>
        <w:ind w:left="3600" w:hanging="360"/>
      </w:pPr>
    </w:lvl>
    <w:lvl w:ilvl="5" w:tplc="40E05966">
      <w:start w:val="1"/>
      <w:numFmt w:val="bullet"/>
      <w:lvlText w:val="■"/>
      <w:lvlJc w:val="left"/>
      <w:pPr>
        <w:ind w:left="4320" w:hanging="360"/>
      </w:pPr>
    </w:lvl>
    <w:lvl w:ilvl="6" w:tplc="07BAA3CE">
      <w:start w:val="1"/>
      <w:numFmt w:val="bullet"/>
      <w:lvlText w:val="●"/>
      <w:lvlJc w:val="left"/>
      <w:pPr>
        <w:ind w:left="5040" w:hanging="360"/>
      </w:pPr>
    </w:lvl>
    <w:lvl w:ilvl="7" w:tplc="8542D0AA">
      <w:start w:val="1"/>
      <w:numFmt w:val="bullet"/>
      <w:lvlText w:val="●"/>
      <w:lvlJc w:val="left"/>
      <w:pPr>
        <w:ind w:left="5760" w:hanging="360"/>
      </w:pPr>
    </w:lvl>
    <w:lvl w:ilvl="8" w:tplc="88BC0282">
      <w:start w:val="1"/>
      <w:numFmt w:val="bullet"/>
      <w:lvlText w:val="●"/>
      <w:lvlJc w:val="left"/>
      <w:pPr>
        <w:ind w:left="6480" w:hanging="360"/>
      </w:pPr>
    </w:lvl>
  </w:abstractNum>
  <w:abstractNum w:abstractNumId="3" w15:restartNumberingAfterBreak="0">
    <w:nsid w:val="7EA1330B"/>
    <w:multiLevelType w:val="hybridMultilevel"/>
    <w:tmpl w:val="CA14F8CC"/>
    <w:lvl w:ilvl="0" w:tplc="335CAB54">
      <w:start w:val="1"/>
      <w:numFmt w:val="bullet"/>
      <w:lvlText w:val="▸"/>
      <w:lvlJc w:val="left"/>
      <w:pPr>
        <w:ind w:left="720" w:hanging="360"/>
      </w:pPr>
    </w:lvl>
    <w:lvl w:ilvl="1" w:tplc="2676CFBE">
      <w:numFmt w:val="decimal"/>
      <w:lvlText w:val=""/>
      <w:lvlJc w:val="left"/>
    </w:lvl>
    <w:lvl w:ilvl="2" w:tplc="603A0EEE">
      <w:numFmt w:val="decimal"/>
      <w:lvlText w:val=""/>
      <w:lvlJc w:val="left"/>
    </w:lvl>
    <w:lvl w:ilvl="3" w:tplc="1020F9AC">
      <w:numFmt w:val="decimal"/>
      <w:lvlText w:val=""/>
      <w:lvlJc w:val="left"/>
    </w:lvl>
    <w:lvl w:ilvl="4" w:tplc="EED286B4">
      <w:numFmt w:val="decimal"/>
      <w:lvlText w:val=""/>
      <w:lvlJc w:val="left"/>
    </w:lvl>
    <w:lvl w:ilvl="5" w:tplc="1C8C71A4">
      <w:numFmt w:val="decimal"/>
      <w:lvlText w:val=""/>
      <w:lvlJc w:val="left"/>
    </w:lvl>
    <w:lvl w:ilvl="6" w:tplc="2E168990">
      <w:numFmt w:val="decimal"/>
      <w:lvlText w:val=""/>
      <w:lvlJc w:val="left"/>
    </w:lvl>
    <w:lvl w:ilvl="7" w:tplc="BD060152">
      <w:numFmt w:val="decimal"/>
      <w:lvlText w:val=""/>
      <w:lvlJc w:val="left"/>
    </w:lvl>
    <w:lvl w:ilvl="8" w:tplc="220EC87A">
      <w:numFmt w:val="decimal"/>
      <w:lvlText w:val=""/>
      <w:lvlJc w:val="left"/>
    </w:lvl>
  </w:abstractNum>
  <w:num w:numId="1">
    <w:abstractNumId w:val="2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B7A"/>
    <w:rsid w:val="000749E2"/>
    <w:rsid w:val="00804440"/>
    <w:rsid w:val="008E4B7A"/>
    <w:rsid w:val="009F65B6"/>
    <w:rsid w:val="00BB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2A95B"/>
  <w15:docId w15:val="{50C742D7-B1B3-4660-A6BF-8C7E43C4B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fr-FR" w:eastAsia="fr-FR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uiPriority w:val="9"/>
    <w:qFormat/>
    <w:pPr>
      <w:spacing w:before="240" w:after="240"/>
      <w:outlineLvl w:val="0"/>
    </w:pPr>
    <w:rPr>
      <w:b/>
      <w:bCs/>
      <w:color w:val="1F4788"/>
      <w:sz w:val="32"/>
      <w:szCs w:val="32"/>
    </w:rPr>
  </w:style>
  <w:style w:type="paragraph" w:styleId="Titre2">
    <w:name w:val="heading 2"/>
    <w:uiPriority w:val="9"/>
    <w:unhideWhenUsed/>
    <w:qFormat/>
    <w:pPr>
      <w:spacing w:before="200" w:after="120"/>
      <w:outlineLvl w:val="1"/>
    </w:pPr>
    <w:rPr>
      <w:b/>
      <w:bCs/>
      <w:color w:val="2E5C8A"/>
      <w:sz w:val="28"/>
      <w:szCs w:val="28"/>
    </w:rPr>
  </w:style>
  <w:style w:type="paragraph" w:styleId="Titre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itre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itre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itre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uiPriority w:val="10"/>
    <w:qFormat/>
    <w:rPr>
      <w:sz w:val="56"/>
      <w:szCs w:val="56"/>
    </w:rPr>
  </w:style>
  <w:style w:type="paragraph" w:customStyle="1" w:styleId="lev1">
    <w:name w:val="Élevé1"/>
    <w:qFormat/>
    <w:rPr>
      <w:b/>
      <w:bCs/>
    </w:rPr>
  </w:style>
  <w:style w:type="paragraph" w:styleId="Paragraphedeliste">
    <w:name w:val="List Paragraph"/>
    <w:qFormat/>
  </w:style>
  <w:style w:type="character" w:styleId="Lienhypertexte">
    <w:name w:val="Hyperlink"/>
    <w:uiPriority w:val="99"/>
    <w:unhideWhenUsed/>
    <w:rPr>
      <w:color w:val="0563C1"/>
      <w:u w:val="single"/>
    </w:rPr>
  </w:style>
  <w:style w:type="character" w:styleId="Appelnotedebasdep">
    <w:name w:val="footnote reference"/>
    <w:uiPriority w:val="99"/>
    <w:semiHidden/>
    <w:unhideWhenUsed/>
    <w:rPr>
      <w:vertAlign w:val="superscript"/>
    </w:rPr>
  </w:style>
  <w:style w:type="paragraph" w:styleId="Notedebasdepage">
    <w:name w:val="footnote text"/>
    <w:link w:val="Notedebasdepage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NotedebasdepageCar">
    <w:name w:val="Note de bas de page Car"/>
    <w:link w:val="Notedebasdepag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504</Words>
  <Characters>2778</Characters>
  <Application>Microsoft Office Word</Application>
  <DocSecurity>0</DocSecurity>
  <Lines>23</Lines>
  <Paragraphs>6</Paragraphs>
  <ScaleCrop>false</ScaleCrop>
  <Company>Université de Bourgogne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Pierre BORDAIS</cp:lastModifiedBy>
  <cp:revision>5</cp:revision>
  <dcterms:created xsi:type="dcterms:W3CDTF">2026-01-13T19:50:00Z</dcterms:created>
  <dcterms:modified xsi:type="dcterms:W3CDTF">2026-01-14T09:01:00Z</dcterms:modified>
</cp:coreProperties>
</file>