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02A95F" w14:textId="77777777" w:rsidR="008E4B7A" w:rsidRDefault="009F65B6">
      <w:pPr>
        <w:pStyle w:val="Titre1"/>
        <w:jc w:val="center"/>
      </w:pPr>
      <w:r>
        <w:t>FICHE 1 - INTRODUCTION AU DROIT DES BIENS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58"/>
      </w:tblGrid>
      <w:tr w:rsidR="008E4B7A" w14:paraId="2602A962" w14:textId="77777777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4F8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602A960" w14:textId="77777777" w:rsidR="008E4B7A" w:rsidRDefault="009F65B6">
            <w:pPr>
              <w:spacing w:after="100"/>
            </w:pPr>
            <w:r>
              <w:rPr>
                <w:b/>
                <w:bCs/>
              </w:rPr>
              <w:t>🎯 DÉFINITION ESSENTIELLE</w:t>
            </w:r>
          </w:p>
          <w:p w14:paraId="2602A961" w14:textId="77777777" w:rsidR="008E4B7A" w:rsidRDefault="009F65B6">
            <w:r>
              <w:rPr>
                <w:sz w:val="22"/>
                <w:szCs w:val="22"/>
              </w:rPr>
              <w:t>Le droit des biens est le droit qui s'applique aux richesses servant l'usage des hommes. Il est étroitement lié à la notion de patrimoine.</w:t>
            </w:r>
          </w:p>
        </w:tc>
      </w:tr>
    </w:tbl>
    <w:p w14:paraId="2602A963" w14:textId="77777777" w:rsidR="008E4B7A" w:rsidRDefault="008E4B7A">
      <w:pPr>
        <w:spacing w:before="200"/>
      </w:pPr>
    </w:p>
    <w:p w14:paraId="2602A964" w14:textId="77777777" w:rsidR="008E4B7A" w:rsidRDefault="009F65B6">
      <w:pPr>
        <w:pStyle w:val="Titre2"/>
      </w:pPr>
      <w:r>
        <w:t>I. Les types de richesses</w:t>
      </w:r>
    </w:p>
    <w:p w14:paraId="2602A965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Richesses naturelles : matérielles (bois, eau, métaux, énergie)</w:t>
      </w:r>
    </w:p>
    <w:p w14:paraId="2602A966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Richesses créées : matérielles (monnaie physique) ou immatérielles (brevets, idées, données)</w:t>
      </w:r>
    </w:p>
    <w:p w14:paraId="2602A967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Développement des biens incorporels : fonds de commerce, propriété intellectuelle, valeurs mobilières, données personnelles</w:t>
      </w:r>
    </w:p>
    <w:p w14:paraId="2602A968" w14:textId="77777777" w:rsidR="008E4B7A" w:rsidRDefault="008E4B7A">
      <w:pPr>
        <w:spacing w:before="200"/>
      </w:pPr>
    </w:p>
    <w:p w14:paraId="2602A969" w14:textId="77777777" w:rsidR="008E4B7A" w:rsidRDefault="009F65B6">
      <w:pPr>
        <w:pStyle w:val="Titre2"/>
      </w:pPr>
      <w:r>
        <w:t>II. L'appropriation des biens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58"/>
      </w:tblGrid>
      <w:tr w:rsidR="008E4B7A" w14:paraId="2602A96C" w14:textId="77777777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4F8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602A96A" w14:textId="77777777" w:rsidR="008E4B7A" w:rsidRDefault="009F65B6">
            <w:pPr>
              <w:spacing w:after="100"/>
            </w:pPr>
            <w:r>
              <w:rPr>
                <w:b/>
                <w:bCs/>
              </w:rPr>
              <w:t>💡 POINT CLÉ</w:t>
            </w:r>
          </w:p>
          <w:p w14:paraId="2602A96B" w14:textId="77777777" w:rsidR="008E4B7A" w:rsidRDefault="009F65B6">
            <w:r>
              <w:rPr>
                <w:sz w:val="22"/>
                <w:szCs w:val="22"/>
              </w:rPr>
              <w:t>Le droit détermine : (1) qui peut posséder des biens, (2) comment les acquérir, (3) comment assurer une répartition équitable des richesses</w:t>
            </w:r>
          </w:p>
        </w:tc>
      </w:tr>
    </w:tbl>
    <w:p w14:paraId="2602A96D" w14:textId="77777777" w:rsidR="008E4B7A" w:rsidRDefault="008E4B7A">
      <w:pPr>
        <w:spacing w:before="200"/>
      </w:pPr>
    </w:p>
    <w:p w14:paraId="2602A973" w14:textId="77777777" w:rsidR="008E4B7A" w:rsidRDefault="009F65B6">
      <w:r>
        <w:br w:type="page"/>
      </w:r>
    </w:p>
    <w:p w14:paraId="2602A974" w14:textId="77777777" w:rsidR="008E4B7A" w:rsidRDefault="009F65B6">
      <w:pPr>
        <w:pStyle w:val="Titre1"/>
        <w:jc w:val="center"/>
      </w:pPr>
      <w:r>
        <w:lastRenderedPageBreak/>
        <w:t>FICHE 2 - LA NOTION DE PATRIMOINE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58"/>
      </w:tblGrid>
      <w:tr w:rsidR="008E4B7A" w14:paraId="2602A977" w14:textId="77777777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4F8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602A975" w14:textId="77777777" w:rsidR="008E4B7A" w:rsidRDefault="009F65B6">
            <w:pPr>
              <w:spacing w:after="100"/>
            </w:pPr>
            <w:r>
              <w:rPr>
                <w:b/>
                <w:bCs/>
              </w:rPr>
              <w:t>📖 DÉFINITION (Aubry et Rau)</w:t>
            </w:r>
          </w:p>
          <w:p w14:paraId="2602A976" w14:textId="77777777" w:rsidR="008E4B7A" w:rsidRDefault="009F65B6">
            <w:r>
              <w:rPr>
                <w:sz w:val="22"/>
                <w:szCs w:val="22"/>
              </w:rPr>
              <w:t>Le patrimoine est l'ensemble des rapports de droit appréciables en argent, qui ont pour sujet actif ou passif une même personne et qui sont envisagés comme formant une universalité juridique.</w:t>
            </w:r>
          </w:p>
        </w:tc>
      </w:tr>
    </w:tbl>
    <w:p w14:paraId="2602A978" w14:textId="77777777" w:rsidR="008E4B7A" w:rsidRDefault="008E4B7A">
      <w:pPr>
        <w:spacing w:before="200"/>
      </w:pPr>
    </w:p>
    <w:p w14:paraId="2602A979" w14:textId="77777777" w:rsidR="008E4B7A" w:rsidRDefault="009F65B6">
      <w:pPr>
        <w:pStyle w:val="Titre2"/>
      </w:pPr>
      <w:r>
        <w:t>I. Principes classiques</w:t>
      </w:r>
    </w:p>
    <w:p w14:paraId="2602A97A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Universalité juridique : contient tout ce qui a une valeur pécuniaire (actif et passif)</w:t>
      </w:r>
    </w:p>
    <w:p w14:paraId="2602A97B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Seules les personnes peuvent avoir un patrimoine</w:t>
      </w:r>
    </w:p>
    <w:p w14:paraId="2602A97C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Toute personne a un patrimoine (même vide)</w:t>
      </w:r>
    </w:p>
    <w:p w14:paraId="2602A97D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Principe traditionnel : une personne = un seul patrimoine</w:t>
      </w:r>
    </w:p>
    <w:p w14:paraId="2602A97E" w14:textId="77777777" w:rsidR="008E4B7A" w:rsidRDefault="008E4B7A">
      <w:pPr>
        <w:spacing w:before="200"/>
      </w:pPr>
    </w:p>
    <w:p w14:paraId="2602A97F" w14:textId="77777777" w:rsidR="008E4B7A" w:rsidRDefault="009F65B6">
      <w:pPr>
        <w:pStyle w:val="Titre2"/>
      </w:pPr>
      <w:r>
        <w:t>II. Évolutions modernes : les patrimoines d'affectation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58"/>
      </w:tblGrid>
      <w:tr w:rsidR="008E4B7A" w14:paraId="2602A982" w14:textId="77777777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4F8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602A980" w14:textId="77777777" w:rsidR="008E4B7A" w:rsidRDefault="009F65B6">
            <w:pPr>
              <w:spacing w:after="100"/>
            </w:pPr>
            <w:r>
              <w:rPr>
                <w:b/>
                <w:bCs/>
              </w:rPr>
              <w:t>🔄 EXCEPTIONS AU PRINCIPE D'UNICITÉ</w:t>
            </w:r>
          </w:p>
          <w:p w14:paraId="2602A981" w14:textId="77777777" w:rsidR="008E4B7A" w:rsidRDefault="009F65B6">
            <w:r>
              <w:rPr>
                <w:sz w:val="22"/>
                <w:szCs w:val="22"/>
              </w:rPr>
              <w:t>Le droit français admet aujourd'hui la séparation des patrimoines, notamment pour protéger l'entrepreneur</w:t>
            </w:r>
          </w:p>
        </w:tc>
      </w:tr>
    </w:tbl>
    <w:p w14:paraId="2602A983" w14:textId="77777777" w:rsidR="008E4B7A" w:rsidRDefault="008E4B7A">
      <w:pPr>
        <w:spacing w:before="150"/>
      </w:pPr>
    </w:p>
    <w:p w14:paraId="2602A984" w14:textId="77777777" w:rsidR="008E4B7A" w:rsidRDefault="009F65B6">
      <w:pPr>
        <w:pStyle w:val="Paragraphedeliste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>Article L742-14 Code de la consommation : liquidation du patrimoine du débiteur surendetté (exclusion de certains biens essentiels)</w:t>
      </w:r>
    </w:p>
    <w:p w14:paraId="2602A985" w14:textId="77777777" w:rsidR="008E4B7A" w:rsidRDefault="009F65B6">
      <w:pPr>
        <w:pStyle w:val="Paragraphedeliste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Fiducie (art. 2011 et s. </w:t>
      </w:r>
      <w:proofErr w:type="spellStart"/>
      <w:r>
        <w:rPr>
          <w:sz w:val="22"/>
          <w:szCs w:val="22"/>
        </w:rPr>
        <w:t>C.civ</w:t>
      </w:r>
      <w:proofErr w:type="spellEnd"/>
      <w:r>
        <w:rPr>
          <w:sz w:val="22"/>
          <w:szCs w:val="22"/>
        </w:rPr>
        <w:t>.) : transfert de biens formant un patrimoine d'affectation</w:t>
      </w:r>
    </w:p>
    <w:p w14:paraId="2602A986" w14:textId="77777777" w:rsidR="008E4B7A" w:rsidRDefault="009F65B6">
      <w:pPr>
        <w:pStyle w:val="Paragraphedeliste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>Loi n° 2022-172 du 14 février 2022 : statut unique de l'entrepreneur individuel, séparation des patrimoines personnel et professionnel</w:t>
      </w:r>
    </w:p>
    <w:p w14:paraId="2602A987" w14:textId="77777777" w:rsidR="008E4B7A" w:rsidRDefault="009F65B6">
      <w:r>
        <w:br w:type="page"/>
      </w:r>
    </w:p>
    <w:p w14:paraId="2602A988" w14:textId="77777777" w:rsidR="008E4B7A" w:rsidRDefault="009F65B6">
      <w:pPr>
        <w:pStyle w:val="Titre1"/>
        <w:jc w:val="center"/>
      </w:pPr>
      <w:r>
        <w:lastRenderedPageBreak/>
        <w:t>FICHE 3 - LA NOTION DE BIEN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58"/>
      </w:tblGrid>
      <w:tr w:rsidR="008E4B7A" w14:paraId="2602A98B" w14:textId="77777777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4F8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602A989" w14:textId="77777777" w:rsidR="008E4B7A" w:rsidRDefault="009F65B6">
            <w:pPr>
              <w:spacing w:after="100"/>
            </w:pPr>
            <w:r>
              <w:rPr>
                <w:b/>
                <w:bCs/>
              </w:rPr>
              <w:t>⚖️ BIEN vs CHOSE</w:t>
            </w:r>
          </w:p>
          <w:p w14:paraId="71FCEBE2" w14:textId="77777777" w:rsidR="00DB2633" w:rsidRDefault="00DB263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Tout bien est une chose mais toute chose n’est pas un bien !</w:t>
            </w:r>
          </w:p>
          <w:p w14:paraId="2602A98A" w14:textId="6159264B" w:rsidR="008E4B7A" w:rsidRDefault="00DB2633">
            <w:r w:rsidRPr="00DB2633">
              <w:rPr>
                <w:sz w:val="22"/>
                <w:szCs w:val="22"/>
                <w:u w:val="single"/>
              </w:rPr>
              <w:t>Aspect théorique</w:t>
            </w:r>
            <w:r>
              <w:rPr>
                <w:sz w:val="22"/>
                <w:szCs w:val="22"/>
              </w:rPr>
              <w:t> : Il est possible de considérer que le</w:t>
            </w:r>
            <w:r w:rsidR="009F65B6">
              <w:rPr>
                <w:sz w:val="22"/>
                <w:szCs w:val="22"/>
              </w:rPr>
              <w:t xml:space="preserve"> bien n'est pas la chose elle-même mais le DROIT portant sur la chose. Ex : ce n'est pas la maison qui est un bien, mais le droit de propriété sur la maison.</w:t>
            </w:r>
          </w:p>
        </w:tc>
      </w:tr>
    </w:tbl>
    <w:p w14:paraId="2602A98C" w14:textId="77777777" w:rsidR="008E4B7A" w:rsidRDefault="008E4B7A">
      <w:pPr>
        <w:spacing w:before="200"/>
      </w:pPr>
    </w:p>
    <w:p w14:paraId="2602A98D" w14:textId="77777777" w:rsidR="008E4B7A" w:rsidRDefault="009F65B6">
      <w:pPr>
        <w:pStyle w:val="Titre2"/>
      </w:pPr>
      <w:r>
        <w:t>I. Les trois caractéristiques du bien</w:t>
      </w:r>
    </w:p>
    <w:p w14:paraId="2602A98E" w14:textId="77777777" w:rsidR="008E4B7A" w:rsidRDefault="009F65B6">
      <w:pPr>
        <w:spacing w:before="150" w:after="100"/>
      </w:pPr>
      <w:r>
        <w:rPr>
          <w:b/>
          <w:bCs/>
        </w:rPr>
        <w:t>1️⃣ La VALEUR</w:t>
      </w:r>
    </w:p>
    <w:p w14:paraId="2602A98F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Critère traditionnel : un bien = une chose de valeur</w:t>
      </w:r>
    </w:p>
    <w:p w14:paraId="238ADA67" w14:textId="77777777" w:rsidR="006A33B0" w:rsidRPr="006A33B0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 xml:space="preserve">Évolution récente : </w:t>
      </w:r>
    </w:p>
    <w:p w14:paraId="2602A990" w14:textId="18BFE0EF" w:rsidR="008E4B7A" w:rsidRDefault="006A33B0" w:rsidP="006A33B0">
      <w:pPr>
        <w:pStyle w:val="Paragraphedeliste"/>
        <w:numPr>
          <w:ilvl w:val="0"/>
          <w:numId w:val="5"/>
        </w:numPr>
        <w:spacing w:before="60" w:after="60"/>
      </w:pPr>
      <w:r>
        <w:rPr>
          <w:sz w:val="22"/>
          <w:szCs w:val="22"/>
        </w:rPr>
        <w:t>P</w:t>
      </w:r>
      <w:r w:rsidR="009F65B6" w:rsidRPr="006A33B0">
        <w:rPr>
          <w:sz w:val="22"/>
          <w:szCs w:val="22"/>
        </w:rPr>
        <w:t>ossibilité de biens à valeur négative (dettes cessibles)</w:t>
      </w:r>
    </w:p>
    <w:p w14:paraId="2602A992" w14:textId="4A77C649" w:rsidR="008E4B7A" w:rsidRDefault="009F65B6" w:rsidP="006A33B0">
      <w:pPr>
        <w:pStyle w:val="Paragraphedeliste"/>
        <w:numPr>
          <w:ilvl w:val="0"/>
          <w:numId w:val="5"/>
        </w:numPr>
        <w:spacing w:before="60" w:after="60"/>
      </w:pPr>
      <w:r>
        <w:rPr>
          <w:sz w:val="22"/>
          <w:szCs w:val="22"/>
        </w:rPr>
        <w:t>Ordonnance n° 2016-131 du 10 février 2016 : réforme du droit des obligations</w:t>
      </w:r>
      <w:r w:rsidR="006A33B0">
        <w:rPr>
          <w:sz w:val="22"/>
          <w:szCs w:val="22"/>
        </w:rPr>
        <w:t xml:space="preserve"> : </w:t>
      </w:r>
      <w:r w:rsidRPr="006A33B0">
        <w:rPr>
          <w:sz w:val="22"/>
          <w:szCs w:val="22"/>
        </w:rPr>
        <w:t>Cession de créances, de dettes et de contrats désormais possible</w:t>
      </w:r>
    </w:p>
    <w:p w14:paraId="2602A993" w14:textId="77777777" w:rsidR="008E4B7A" w:rsidRDefault="009F65B6">
      <w:pPr>
        <w:spacing w:before="150" w:after="100"/>
      </w:pPr>
      <w:r>
        <w:rPr>
          <w:b/>
          <w:bCs/>
        </w:rPr>
        <w:t>2️⃣ L'APPROPRIABILITÉ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58"/>
      </w:tblGrid>
      <w:tr w:rsidR="008E4B7A" w14:paraId="2602A996" w14:textId="77777777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4F8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602A994" w14:textId="77777777" w:rsidR="008E4B7A" w:rsidRDefault="009F65B6">
            <w:pPr>
              <w:spacing w:after="100"/>
            </w:pPr>
            <w:r>
              <w:rPr>
                <w:b/>
                <w:bCs/>
              </w:rPr>
              <w:t>💡 DÉFINITION</w:t>
            </w:r>
          </w:p>
          <w:p w14:paraId="2602A995" w14:textId="77777777" w:rsidR="008E4B7A" w:rsidRDefault="009F65B6">
            <w:r>
              <w:rPr>
                <w:sz w:val="22"/>
                <w:szCs w:val="22"/>
              </w:rPr>
              <w:t>L'appropriabilité = aptitude à être soustrait à un usage collectif au profit d'une dévolution individuelle exclusive</w:t>
            </w:r>
          </w:p>
        </w:tc>
      </w:tr>
    </w:tbl>
    <w:p w14:paraId="2602A997" w14:textId="77777777" w:rsidR="008E4B7A" w:rsidRDefault="008E4B7A">
      <w:pPr>
        <w:spacing w:before="120"/>
      </w:pPr>
    </w:p>
    <w:p w14:paraId="2602A998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Relation d'appartenance entre une personne et une chose</w:t>
      </w:r>
    </w:p>
    <w:p w14:paraId="2602A99A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Exclusivisme : pouvoir d'écarter tout tiers</w:t>
      </w:r>
    </w:p>
    <w:p w14:paraId="2602A99B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Caractère arbitraire : choix politique (ex : privatisation de l'eau)</w:t>
      </w:r>
    </w:p>
    <w:p w14:paraId="2602A99C" w14:textId="77777777" w:rsidR="008E4B7A" w:rsidRDefault="009F65B6">
      <w:pPr>
        <w:spacing w:before="150" w:after="100"/>
      </w:pPr>
      <w:r>
        <w:rPr>
          <w:b/>
          <w:bCs/>
        </w:rPr>
        <w:t>3️⃣ La CESSIBILITÉ / COMMERCIALITÉ</w:t>
      </w:r>
    </w:p>
    <w:p w14:paraId="2602A99D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Aliénabilité : possibilité de transférer le bien</w:t>
      </w:r>
    </w:p>
    <w:p w14:paraId="2602A99E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Commerce juridique : limite entre licite et illicite</w:t>
      </w:r>
    </w:p>
    <w:p w14:paraId="2602AAD9" w14:textId="69C91319" w:rsidR="008E4B7A" w:rsidRDefault="009F65B6" w:rsidP="009F65B6">
      <w:pPr>
        <w:pStyle w:val="Paragraphedeliste"/>
        <w:numPr>
          <w:ilvl w:val="0"/>
          <w:numId w:val="2"/>
        </w:numPr>
        <w:spacing w:before="60" w:after="60"/>
      </w:pPr>
      <w:r w:rsidRPr="000206A6">
        <w:rPr>
          <w:sz w:val="22"/>
          <w:szCs w:val="22"/>
        </w:rPr>
        <w:t>Évolution vers plus de commercialité (ex : clientèle, produits du corps).</w:t>
      </w:r>
    </w:p>
    <w:sectPr w:rsidR="008E4B7A" w:rsidSect="000206A6">
      <w:pgSz w:w="12240" w:h="15840"/>
      <w:pgMar w:top="1440" w:right="1440" w:bottom="851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E14FDE"/>
    <w:multiLevelType w:val="hybridMultilevel"/>
    <w:tmpl w:val="5C00F362"/>
    <w:lvl w:ilvl="0" w:tplc="87147F9E">
      <w:start w:val="1"/>
      <w:numFmt w:val="bullet"/>
      <w:lvlText w:val="•"/>
      <w:lvlJc w:val="left"/>
      <w:pPr>
        <w:ind w:left="720" w:hanging="360"/>
      </w:pPr>
    </w:lvl>
    <w:lvl w:ilvl="1" w:tplc="5358EB20">
      <w:numFmt w:val="decimal"/>
      <w:lvlText w:val=""/>
      <w:lvlJc w:val="left"/>
    </w:lvl>
    <w:lvl w:ilvl="2" w:tplc="BF3E2EBC">
      <w:numFmt w:val="decimal"/>
      <w:lvlText w:val=""/>
      <w:lvlJc w:val="left"/>
    </w:lvl>
    <w:lvl w:ilvl="3" w:tplc="28443E5A">
      <w:numFmt w:val="decimal"/>
      <w:lvlText w:val=""/>
      <w:lvlJc w:val="left"/>
    </w:lvl>
    <w:lvl w:ilvl="4" w:tplc="5B764096">
      <w:numFmt w:val="decimal"/>
      <w:lvlText w:val=""/>
      <w:lvlJc w:val="left"/>
    </w:lvl>
    <w:lvl w:ilvl="5" w:tplc="18B8C400">
      <w:numFmt w:val="decimal"/>
      <w:lvlText w:val=""/>
      <w:lvlJc w:val="left"/>
    </w:lvl>
    <w:lvl w:ilvl="6" w:tplc="B8262A7C">
      <w:numFmt w:val="decimal"/>
      <w:lvlText w:val=""/>
      <w:lvlJc w:val="left"/>
    </w:lvl>
    <w:lvl w:ilvl="7" w:tplc="51F8F65A">
      <w:numFmt w:val="decimal"/>
      <w:lvlText w:val=""/>
      <w:lvlJc w:val="left"/>
    </w:lvl>
    <w:lvl w:ilvl="8" w:tplc="8558EC96">
      <w:numFmt w:val="decimal"/>
      <w:lvlText w:val=""/>
      <w:lvlJc w:val="left"/>
    </w:lvl>
  </w:abstractNum>
  <w:abstractNum w:abstractNumId="1" w15:restartNumberingAfterBreak="0">
    <w:nsid w:val="49C54AB4"/>
    <w:multiLevelType w:val="hybridMultilevel"/>
    <w:tmpl w:val="28C09A36"/>
    <w:lvl w:ilvl="0" w:tplc="B7363BE2">
      <w:start w:val="1"/>
      <w:numFmt w:val="decimal"/>
      <w:lvlText w:val="%1."/>
      <w:lvlJc w:val="left"/>
      <w:pPr>
        <w:ind w:left="720" w:hanging="360"/>
      </w:pPr>
    </w:lvl>
    <w:lvl w:ilvl="1" w:tplc="A3B60858">
      <w:numFmt w:val="decimal"/>
      <w:lvlText w:val=""/>
      <w:lvlJc w:val="left"/>
    </w:lvl>
    <w:lvl w:ilvl="2" w:tplc="5450FC62">
      <w:numFmt w:val="decimal"/>
      <w:lvlText w:val=""/>
      <w:lvlJc w:val="left"/>
    </w:lvl>
    <w:lvl w:ilvl="3" w:tplc="0A04975E">
      <w:numFmt w:val="decimal"/>
      <w:lvlText w:val=""/>
      <w:lvlJc w:val="left"/>
    </w:lvl>
    <w:lvl w:ilvl="4" w:tplc="9AEAA7D8">
      <w:numFmt w:val="decimal"/>
      <w:lvlText w:val=""/>
      <w:lvlJc w:val="left"/>
    </w:lvl>
    <w:lvl w:ilvl="5" w:tplc="BD1453E2">
      <w:numFmt w:val="decimal"/>
      <w:lvlText w:val=""/>
      <w:lvlJc w:val="left"/>
    </w:lvl>
    <w:lvl w:ilvl="6" w:tplc="5FFCD218">
      <w:numFmt w:val="decimal"/>
      <w:lvlText w:val=""/>
      <w:lvlJc w:val="left"/>
    </w:lvl>
    <w:lvl w:ilvl="7" w:tplc="6BA64518">
      <w:numFmt w:val="decimal"/>
      <w:lvlText w:val=""/>
      <w:lvlJc w:val="left"/>
    </w:lvl>
    <w:lvl w:ilvl="8" w:tplc="2826C306">
      <w:numFmt w:val="decimal"/>
      <w:lvlText w:val=""/>
      <w:lvlJc w:val="left"/>
    </w:lvl>
  </w:abstractNum>
  <w:abstractNum w:abstractNumId="2" w15:restartNumberingAfterBreak="0">
    <w:nsid w:val="4F2743B3"/>
    <w:multiLevelType w:val="hybridMultilevel"/>
    <w:tmpl w:val="CB0C0018"/>
    <w:lvl w:ilvl="0" w:tplc="F23EB838">
      <w:start w:val="1"/>
      <w:numFmt w:val="bullet"/>
      <w:lvlText w:val="●"/>
      <w:lvlJc w:val="left"/>
      <w:pPr>
        <w:ind w:left="720" w:hanging="360"/>
      </w:pPr>
    </w:lvl>
    <w:lvl w:ilvl="1" w:tplc="D870C64E">
      <w:start w:val="1"/>
      <w:numFmt w:val="bullet"/>
      <w:lvlText w:val="○"/>
      <w:lvlJc w:val="left"/>
      <w:pPr>
        <w:ind w:left="1440" w:hanging="360"/>
      </w:pPr>
    </w:lvl>
    <w:lvl w:ilvl="2" w:tplc="1DB8715E">
      <w:start w:val="1"/>
      <w:numFmt w:val="bullet"/>
      <w:lvlText w:val="■"/>
      <w:lvlJc w:val="left"/>
      <w:pPr>
        <w:ind w:left="2160" w:hanging="360"/>
      </w:pPr>
    </w:lvl>
    <w:lvl w:ilvl="3" w:tplc="84F891A8">
      <w:start w:val="1"/>
      <w:numFmt w:val="bullet"/>
      <w:lvlText w:val="●"/>
      <w:lvlJc w:val="left"/>
      <w:pPr>
        <w:ind w:left="2880" w:hanging="360"/>
      </w:pPr>
    </w:lvl>
    <w:lvl w:ilvl="4" w:tplc="4E4E70EA">
      <w:start w:val="1"/>
      <w:numFmt w:val="bullet"/>
      <w:lvlText w:val="○"/>
      <w:lvlJc w:val="left"/>
      <w:pPr>
        <w:ind w:left="3600" w:hanging="360"/>
      </w:pPr>
    </w:lvl>
    <w:lvl w:ilvl="5" w:tplc="40E05966">
      <w:start w:val="1"/>
      <w:numFmt w:val="bullet"/>
      <w:lvlText w:val="■"/>
      <w:lvlJc w:val="left"/>
      <w:pPr>
        <w:ind w:left="4320" w:hanging="360"/>
      </w:pPr>
    </w:lvl>
    <w:lvl w:ilvl="6" w:tplc="07BAA3CE">
      <w:start w:val="1"/>
      <w:numFmt w:val="bullet"/>
      <w:lvlText w:val="●"/>
      <w:lvlJc w:val="left"/>
      <w:pPr>
        <w:ind w:left="5040" w:hanging="360"/>
      </w:pPr>
    </w:lvl>
    <w:lvl w:ilvl="7" w:tplc="8542D0AA">
      <w:start w:val="1"/>
      <w:numFmt w:val="bullet"/>
      <w:lvlText w:val="●"/>
      <w:lvlJc w:val="left"/>
      <w:pPr>
        <w:ind w:left="5760" w:hanging="360"/>
      </w:pPr>
    </w:lvl>
    <w:lvl w:ilvl="8" w:tplc="88BC0282">
      <w:start w:val="1"/>
      <w:numFmt w:val="bullet"/>
      <w:lvlText w:val="●"/>
      <w:lvlJc w:val="left"/>
      <w:pPr>
        <w:ind w:left="6480" w:hanging="360"/>
      </w:pPr>
    </w:lvl>
  </w:abstractNum>
  <w:abstractNum w:abstractNumId="3" w15:restartNumberingAfterBreak="0">
    <w:nsid w:val="65D56B14"/>
    <w:multiLevelType w:val="hybridMultilevel"/>
    <w:tmpl w:val="F3E65CB2"/>
    <w:lvl w:ilvl="0" w:tplc="D9CAAB2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A1330B"/>
    <w:multiLevelType w:val="hybridMultilevel"/>
    <w:tmpl w:val="CA14F8CC"/>
    <w:lvl w:ilvl="0" w:tplc="335CAB54">
      <w:start w:val="1"/>
      <w:numFmt w:val="bullet"/>
      <w:lvlText w:val="▸"/>
      <w:lvlJc w:val="left"/>
      <w:pPr>
        <w:ind w:left="720" w:hanging="360"/>
      </w:pPr>
    </w:lvl>
    <w:lvl w:ilvl="1" w:tplc="2676CFBE">
      <w:numFmt w:val="decimal"/>
      <w:lvlText w:val=""/>
      <w:lvlJc w:val="left"/>
    </w:lvl>
    <w:lvl w:ilvl="2" w:tplc="603A0EEE">
      <w:numFmt w:val="decimal"/>
      <w:lvlText w:val=""/>
      <w:lvlJc w:val="left"/>
    </w:lvl>
    <w:lvl w:ilvl="3" w:tplc="1020F9AC">
      <w:numFmt w:val="decimal"/>
      <w:lvlText w:val=""/>
      <w:lvlJc w:val="left"/>
    </w:lvl>
    <w:lvl w:ilvl="4" w:tplc="EED286B4">
      <w:numFmt w:val="decimal"/>
      <w:lvlText w:val=""/>
      <w:lvlJc w:val="left"/>
    </w:lvl>
    <w:lvl w:ilvl="5" w:tplc="1C8C71A4">
      <w:numFmt w:val="decimal"/>
      <w:lvlText w:val=""/>
      <w:lvlJc w:val="left"/>
    </w:lvl>
    <w:lvl w:ilvl="6" w:tplc="2E168990">
      <w:numFmt w:val="decimal"/>
      <w:lvlText w:val=""/>
      <w:lvlJc w:val="left"/>
    </w:lvl>
    <w:lvl w:ilvl="7" w:tplc="BD060152">
      <w:numFmt w:val="decimal"/>
      <w:lvlText w:val=""/>
      <w:lvlJc w:val="left"/>
    </w:lvl>
    <w:lvl w:ilvl="8" w:tplc="220EC87A">
      <w:numFmt w:val="decimal"/>
      <w:lvlText w:val=""/>
      <w:lvlJc w:val="left"/>
    </w:lvl>
  </w:abstractNum>
  <w:num w:numId="1">
    <w:abstractNumId w:val="2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4"/>
    <w:lvlOverride w:ilvl="0">
      <w:startOverride w:val="1"/>
    </w:lvlOverride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B7A"/>
    <w:rsid w:val="000206A6"/>
    <w:rsid w:val="005F32FD"/>
    <w:rsid w:val="006A0664"/>
    <w:rsid w:val="006A33B0"/>
    <w:rsid w:val="008E4B7A"/>
    <w:rsid w:val="009F65B6"/>
    <w:rsid w:val="00DB2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2A95B"/>
  <w15:docId w15:val="{50C742D7-B1B3-4660-A6BF-8C7E43C4B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4"/>
        <w:szCs w:val="24"/>
        <w:lang w:val="fr-FR" w:eastAsia="fr-FR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spacing w:before="240" w:after="240"/>
      <w:outlineLvl w:val="0"/>
    </w:pPr>
    <w:rPr>
      <w:b/>
      <w:bCs/>
      <w:color w:val="1F4788"/>
      <w:sz w:val="32"/>
      <w:szCs w:val="32"/>
    </w:rPr>
  </w:style>
  <w:style w:type="paragraph" w:styleId="Titre2">
    <w:name w:val="heading 2"/>
    <w:uiPriority w:val="9"/>
    <w:unhideWhenUsed/>
    <w:qFormat/>
    <w:pPr>
      <w:spacing w:before="200" w:after="120"/>
      <w:outlineLvl w:val="1"/>
    </w:pPr>
    <w:rPr>
      <w:b/>
      <w:bCs/>
      <w:color w:val="2E5C8A"/>
      <w:sz w:val="28"/>
      <w:szCs w:val="28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456</Words>
  <Characters>2511</Characters>
  <Application>Microsoft Office Word</Application>
  <DocSecurity>0</DocSecurity>
  <Lines>20</Lines>
  <Paragraphs>5</Paragraphs>
  <ScaleCrop>false</ScaleCrop>
  <Company>Université de Bourgogne</Company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Pierre BORDAIS</cp:lastModifiedBy>
  <cp:revision>7</cp:revision>
  <dcterms:created xsi:type="dcterms:W3CDTF">2026-01-13T19:50:00Z</dcterms:created>
  <dcterms:modified xsi:type="dcterms:W3CDTF">2026-01-14T08:49:00Z</dcterms:modified>
</cp:coreProperties>
</file>